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融智理财添利系列-D540-18理财产品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融智理财添利系列-D540-18理财产品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C1136022000007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2022-01-20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42,604,000.00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[2%-3.7%]/年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100.53%</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4"/>
            <w:bookmarkEnd w:id="0"/>
            <w:bookmarkStart w:id="1" w:name="OLE_LINK7"/>
            <w:bookmarkEnd w:id="1"/>
            <w:r>
              <w:t>15.24</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192,829.05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222,177.25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43,361,254.22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1.1524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43,361,254.22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1.1524</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21,454,464.24</w:t>
            </w:r>
          </w:p>
        </w:tc>
        <w:tc>
          <w:tcPr>
            <w:tcW w:w="1749" w:type="dxa"/>
            <w:shd w:val="clear" w:color="auto" w:fill="auto"/>
            <w:vAlign w:val="center"/>
          </w:tcPr>
          <w:p>
            <w:pPr>
              <w:jc w:val="right"/>
            </w:pPr>
            <w:r>
              <w:t>49.22</w:t>
            </w:r>
          </w:p>
        </w:tc>
        <w:tc>
          <w:tcPr>
            <w:tcW w:w="1653" w:type="dxa"/>
            <w:vAlign w:val="center"/>
          </w:tcPr>
          <w:p>
            <w:pPr>
              <w:jc w:val="right"/>
            </w:pPr>
            <w:r>
              <w:t>11,248,048.17</w:t>
            </w:r>
          </w:p>
        </w:tc>
        <w:tc>
          <w:tcPr>
            <w:tcW w:w="1705" w:type="dxa"/>
            <w:vAlign w:val="center"/>
          </w:tcPr>
          <w:p>
            <w:pPr>
              <w:jc w:val="right"/>
            </w:pPr>
            <w:r>
              <w:t>25.80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21,454,464.24</w:t>
            </w:r>
          </w:p>
        </w:tc>
        <w:tc>
          <w:tcPr>
            <w:tcW w:w="1749" w:type="dxa"/>
            <w:shd w:val="clear" w:color="auto" w:fill="auto"/>
            <w:vAlign w:val="center"/>
          </w:tcPr>
          <w:p>
            <w:pPr>
              <w:jc w:val="right"/>
            </w:pPr>
            <w:r>
              <w:t>49.22</w:t>
            </w:r>
          </w:p>
        </w:tc>
        <w:tc>
          <w:tcPr>
            <w:tcW w:w="1653" w:type="dxa"/>
            <w:vAlign w:val="center"/>
          </w:tcPr>
          <w:p>
            <w:pPr>
              <w:jc w:val="right"/>
            </w:pPr>
            <w:r>
              <w:t>11,248,048.17</w:t>
            </w:r>
          </w:p>
        </w:tc>
        <w:tc>
          <w:tcPr>
            <w:tcW w:w="1705" w:type="dxa"/>
            <w:vAlign w:val="center"/>
          </w:tcPr>
          <w:p>
            <w:pPr>
              <w:jc w:val="right"/>
            </w:pPr>
            <w:r>
              <w:t>25.80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644,926.46</w:t>
            </w:r>
          </w:p>
        </w:tc>
        <w:tc>
          <w:tcPr>
            <w:tcW w:w="1749" w:type="dxa"/>
            <w:shd w:val="clear" w:color="auto" w:fill="auto"/>
            <w:vAlign w:val="center"/>
          </w:tcPr>
          <w:p>
            <w:pPr>
              <w:jc w:val="right"/>
            </w:pPr>
            <w:r>
              <w:t>1.48</w:t>
            </w:r>
          </w:p>
        </w:tc>
        <w:tc>
          <w:tcPr>
            <w:tcW w:w="1653" w:type="dxa"/>
            <w:vAlign w:val="center"/>
          </w:tcPr>
          <w:p>
            <w:pPr>
              <w:jc w:val="right"/>
            </w:pPr>
            <w:r>
              <w:t>118,565.38</w:t>
            </w:r>
          </w:p>
        </w:tc>
        <w:tc>
          <w:tcPr>
            <w:tcW w:w="1705" w:type="dxa"/>
            <w:vAlign w:val="center"/>
          </w:tcPr>
          <w:p>
            <w:pPr>
              <w:jc w:val="right"/>
            </w:pPr>
            <w: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11,329,689.57</w:t>
            </w:r>
          </w:p>
        </w:tc>
        <w:tc>
          <w:tcPr>
            <w:tcW w:w="1749" w:type="dxa"/>
            <w:shd w:val="clear" w:color="auto" w:fill="auto"/>
            <w:vAlign w:val="center"/>
          </w:tcPr>
          <w:p>
            <w:pPr>
              <w:jc w:val="right"/>
            </w:pPr>
            <w:r>
              <w:t>25.99</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10,160,437.35</w:t>
            </w:r>
          </w:p>
        </w:tc>
        <w:tc>
          <w:tcPr>
            <w:tcW w:w="1749" w:type="dxa"/>
            <w:shd w:val="clear" w:color="auto" w:fill="auto"/>
            <w:vAlign w:val="center"/>
          </w:tcPr>
          <w:p>
            <w:pPr>
              <w:jc w:val="right"/>
            </w:pPr>
            <w:r>
              <w:t>23.31</w:t>
            </w:r>
          </w:p>
        </w:tc>
        <w:tc>
          <w:tcPr>
            <w:tcW w:w="1653" w:type="dxa"/>
            <w:vAlign w:val="center"/>
          </w:tcPr>
          <w:p>
            <w:pPr>
              <w:jc w:val="right"/>
            </w:pPr>
            <w:r>
              <w:t>47,616.51</w:t>
            </w:r>
          </w:p>
        </w:tc>
        <w:tc>
          <w:tcPr>
            <w:tcW w:w="1705" w:type="dxa"/>
            <w:vAlign w:val="center"/>
          </w:tcPr>
          <w:p>
            <w:pPr>
              <w:jc w:val="right"/>
            </w:pPr>
            <w: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43,589,517.62</w:t>
            </w:r>
          </w:p>
        </w:tc>
        <w:tc>
          <w:tcPr>
            <w:tcW w:w="1749" w:type="dxa"/>
            <w:shd w:val="clear" w:color="auto" w:fill="auto"/>
          </w:tcPr>
          <w:p>
            <w:pPr>
              <w:jc w:val="right"/>
            </w:pPr>
            <w:r>
              <w:t>100.00</w:t>
            </w:r>
          </w:p>
        </w:tc>
        <w:tc>
          <w:tcPr>
            <w:tcW w:w="1653" w:type="dxa"/>
          </w:tcPr>
          <w:p>
            <w:pPr>
              <w:jc w:val="right"/>
            </w:pPr>
            <w:r>
              <w:t>11,414,230.06</w:t>
            </w:r>
          </w:p>
        </w:tc>
        <w:tc>
          <w:tcPr>
            <w:tcW w:w="1705" w:type="dxa"/>
          </w:tcPr>
          <w:p>
            <w:pPr>
              <w:jc w:val="right"/>
            </w:pPr>
            <w:r>
              <w:t>26.19</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7.06%；直接或间接持有的非标准化债权资产占比23.43%，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54018-湖南银行皖江金租20250509</w:t>
            </w:r>
          </w:p>
        </w:tc>
        <w:tc>
          <w:tcPr>
            <w:tcW w:w="2693" w:type="dxa"/>
            <w:shd w:val="clear" w:color="auto" w:fill="auto"/>
            <w:vAlign w:val="center"/>
          </w:tcPr>
          <w:p>
            <w:pPr>
              <w:jc w:val="right"/>
            </w:pPr>
            <w:r>
              <w:t>10,160,437.35</w:t>
            </w:r>
          </w:p>
        </w:tc>
        <w:tc>
          <w:tcPr>
            <w:tcW w:w="2431" w:type="dxa"/>
            <w:shd w:val="clear" w:color="auto" w:fill="auto"/>
            <w:vAlign w:val="center"/>
          </w:tcPr>
          <w:p>
            <w:pPr>
              <w:jc w:val="right"/>
            </w:pPr>
            <w:r>
              <w:t>23.43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中信证券湘稳1号集合资产管理计划</w:t>
            </w:r>
          </w:p>
        </w:tc>
        <w:tc>
          <w:tcPr>
            <w:tcW w:w="2693" w:type="dxa"/>
            <w:shd w:val="clear" w:color="auto" w:fill="auto"/>
            <w:vAlign w:val="center"/>
          </w:tcPr>
          <w:p>
            <w:pPr>
              <w:ind w:hanging="1"/>
              <w:jc w:val="right"/>
            </w:pPr>
            <w:r>
              <w:rPr>
                <w:b w:val="0"/>
                <w:i w:val="0"/>
                <w:strike w:val="0"/>
                <w:u w:val="none"/>
              </w:rPr>
              <w:t>7,846,595.81</w:t>
            </w:r>
          </w:p>
        </w:tc>
        <w:tc>
          <w:tcPr>
            <w:tcW w:w="2431" w:type="dxa"/>
            <w:shd w:val="clear" w:color="auto" w:fill="auto"/>
            <w:vAlign w:val="center"/>
          </w:tcPr>
          <w:p>
            <w:pPr>
              <w:ind w:hanging="1"/>
              <w:jc w:val="right"/>
            </w:pPr>
            <w:r>
              <w:rPr>
                <w:b w:val="0"/>
                <w:i w:val="0"/>
                <w:strike w:val="0"/>
                <w:u w:val="none"/>
              </w:rPr>
              <w:t>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24洞庭01</w:t>
            </w:r>
          </w:p>
        </w:tc>
        <w:tc>
          <w:tcPr>
            <w:tcW w:w="2693" w:type="dxa"/>
            <w:shd w:val="clear" w:color="auto" w:fill="auto"/>
            <w:vAlign w:val="center"/>
          </w:tcPr>
          <w:p>
            <w:pPr>
              <w:ind w:hanging="1"/>
              <w:jc w:val="right"/>
            </w:pPr>
            <w:r>
              <w:rPr>
                <w:b w:val="0"/>
                <w:i w:val="0"/>
                <w:strike w:val="0"/>
                <w:u w:val="none"/>
              </w:rPr>
              <w:t>3,639,415.07</w:t>
            </w:r>
          </w:p>
        </w:tc>
        <w:tc>
          <w:tcPr>
            <w:tcW w:w="2431" w:type="dxa"/>
            <w:shd w:val="clear" w:color="auto" w:fill="auto"/>
            <w:vAlign w:val="center"/>
          </w:tcPr>
          <w:p>
            <w:pPr>
              <w:ind w:hanging="1"/>
              <w:jc w:val="right"/>
            </w:pPr>
            <w:r>
              <w:rPr>
                <w:b w:val="0"/>
                <w:i w:val="0"/>
                <w:strike w:val="0"/>
                <w:u w:val="none"/>
              </w:rPr>
              <w:t>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24电YK01</w:t>
            </w:r>
          </w:p>
        </w:tc>
        <w:tc>
          <w:tcPr>
            <w:tcW w:w="2693" w:type="dxa"/>
            <w:shd w:val="clear" w:color="auto" w:fill="auto"/>
            <w:vAlign w:val="center"/>
          </w:tcPr>
          <w:p>
            <w:pPr>
              <w:ind w:hanging="1"/>
              <w:jc w:val="right"/>
            </w:pPr>
            <w:r>
              <w:rPr>
                <w:b w:val="0"/>
                <w:i w:val="0"/>
                <w:strike w:val="0"/>
                <w:u w:val="none"/>
              </w:rPr>
              <w:t>3,437,276.11</w:t>
            </w:r>
          </w:p>
        </w:tc>
        <w:tc>
          <w:tcPr>
            <w:tcW w:w="2431" w:type="dxa"/>
            <w:shd w:val="clear" w:color="auto" w:fill="auto"/>
            <w:vAlign w:val="center"/>
          </w:tcPr>
          <w:p>
            <w:pPr>
              <w:ind w:hanging="1"/>
              <w:jc w:val="right"/>
            </w:pPr>
            <w:r>
              <w:rPr>
                <w:b w:val="0"/>
                <w:i w:val="0"/>
                <w:strike w:val="0"/>
                <w:u w:val="none"/>
              </w:rPr>
              <w:t>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24郴新01</w:t>
            </w:r>
          </w:p>
        </w:tc>
        <w:tc>
          <w:tcPr>
            <w:tcW w:w="2693" w:type="dxa"/>
            <w:shd w:val="clear" w:color="auto" w:fill="auto"/>
            <w:vAlign w:val="center"/>
          </w:tcPr>
          <w:p>
            <w:pPr>
              <w:ind w:hanging="1"/>
              <w:jc w:val="right"/>
            </w:pPr>
            <w:r>
              <w:rPr>
                <w:b w:val="0"/>
                <w:i w:val="0"/>
                <w:strike w:val="0"/>
                <w:u w:val="none"/>
              </w:rPr>
              <w:t>2,954,069.04</w:t>
            </w:r>
          </w:p>
        </w:tc>
        <w:tc>
          <w:tcPr>
            <w:tcW w:w="2431" w:type="dxa"/>
            <w:shd w:val="clear" w:color="auto" w:fill="auto"/>
            <w:vAlign w:val="center"/>
          </w:tcPr>
          <w:p>
            <w:pPr>
              <w:ind w:hanging="1"/>
              <w:jc w:val="right"/>
            </w:pPr>
            <w:r>
              <w:rPr>
                <w:b w:val="0"/>
                <w:i w:val="0"/>
                <w:strike w:val="0"/>
                <w:u w:val="none"/>
              </w:rPr>
              <w:t>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21岳阳交投01</w:t>
            </w:r>
          </w:p>
        </w:tc>
        <w:tc>
          <w:tcPr>
            <w:tcW w:w="2693" w:type="dxa"/>
            <w:shd w:val="clear" w:color="auto" w:fill="auto"/>
            <w:vAlign w:val="center"/>
          </w:tcPr>
          <w:p>
            <w:pPr>
              <w:ind w:hanging="1"/>
              <w:jc w:val="right"/>
            </w:pPr>
            <w:r>
              <w:rPr>
                <w:b w:val="0"/>
                <w:i w:val="0"/>
                <w:strike w:val="0"/>
                <w:u w:val="none"/>
              </w:rPr>
              <w:t>2,423,351.01</w:t>
            </w:r>
          </w:p>
        </w:tc>
        <w:tc>
          <w:tcPr>
            <w:tcW w:w="2431" w:type="dxa"/>
            <w:shd w:val="clear" w:color="auto" w:fill="auto"/>
            <w:vAlign w:val="center"/>
          </w:tcPr>
          <w:p>
            <w:pPr>
              <w:ind w:hanging="1"/>
              <w:jc w:val="right"/>
            </w:pPr>
            <w:r>
              <w:rPr>
                <w:b w:val="0"/>
                <w:i w:val="0"/>
                <w:strike w:val="0"/>
                <w:u w:val="none"/>
              </w:rPr>
              <w:t>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25进出清发01</w:t>
            </w:r>
          </w:p>
        </w:tc>
        <w:tc>
          <w:tcPr>
            <w:tcW w:w="2693" w:type="dxa"/>
            <w:shd w:val="clear" w:color="auto" w:fill="auto"/>
            <w:vAlign w:val="center"/>
          </w:tcPr>
          <w:p>
            <w:pPr>
              <w:ind w:hanging="1"/>
              <w:jc w:val="right"/>
            </w:pPr>
            <w:r>
              <w:rPr>
                <w:b w:val="0"/>
                <w:i w:val="0"/>
                <w:strike w:val="0"/>
                <w:u w:val="none"/>
              </w:rPr>
              <w:t>2,415,274.52</w:t>
            </w:r>
          </w:p>
        </w:tc>
        <w:tc>
          <w:tcPr>
            <w:tcW w:w="2431" w:type="dxa"/>
            <w:shd w:val="clear" w:color="auto" w:fill="auto"/>
            <w:vAlign w:val="center"/>
          </w:tcPr>
          <w:p>
            <w:pPr>
              <w:ind w:hanging="1"/>
              <w:jc w:val="right"/>
            </w:pPr>
            <w:r>
              <w:rPr>
                <w:b w:val="0"/>
                <w:i w:val="0"/>
                <w:strike w:val="0"/>
                <w:u w:val="none"/>
              </w:rPr>
              <w:t>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华夏纯债3号</w:t>
            </w:r>
          </w:p>
        </w:tc>
        <w:tc>
          <w:tcPr>
            <w:tcW w:w="2693" w:type="dxa"/>
            <w:shd w:val="clear" w:color="auto" w:fill="auto"/>
            <w:vAlign w:val="center"/>
          </w:tcPr>
          <w:p>
            <w:pPr>
              <w:ind w:hanging="1"/>
              <w:jc w:val="right"/>
            </w:pPr>
            <w:r>
              <w:rPr>
                <w:b w:val="0"/>
                <w:i w:val="0"/>
                <w:strike w:val="0"/>
                <w:u w:val="none"/>
              </w:rPr>
              <w:t>2,258,727.30</w:t>
            </w:r>
          </w:p>
        </w:tc>
        <w:tc>
          <w:tcPr>
            <w:tcW w:w="2431" w:type="dxa"/>
            <w:shd w:val="clear" w:color="auto" w:fill="auto"/>
            <w:vAlign w:val="center"/>
          </w:tcPr>
          <w:p>
            <w:pPr>
              <w:ind w:hanging="1"/>
              <w:jc w:val="right"/>
            </w:pPr>
            <w:r>
              <w:rPr>
                <w:b w:val="0"/>
                <w:i w:val="0"/>
                <w:strike w:val="0"/>
                <w:u w:val="none"/>
              </w:rPr>
              <w:t>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21郑州银行永续债</w:t>
            </w:r>
          </w:p>
        </w:tc>
        <w:tc>
          <w:tcPr>
            <w:tcW w:w="2693" w:type="dxa"/>
            <w:shd w:val="clear" w:color="auto" w:fill="auto"/>
            <w:vAlign w:val="center"/>
          </w:tcPr>
          <w:p>
            <w:pPr>
              <w:ind w:hanging="1"/>
              <w:jc w:val="right"/>
            </w:pPr>
            <w:r>
              <w:rPr>
                <w:b w:val="0"/>
                <w:i w:val="0"/>
                <w:strike w:val="0"/>
                <w:u w:val="none"/>
              </w:rPr>
              <w:t>2,162,473.56</w:t>
            </w:r>
          </w:p>
        </w:tc>
        <w:tc>
          <w:tcPr>
            <w:tcW w:w="2431" w:type="dxa"/>
            <w:shd w:val="clear" w:color="auto" w:fill="auto"/>
            <w:vAlign w:val="center"/>
          </w:tcPr>
          <w:p>
            <w:pPr>
              <w:ind w:hanging="1"/>
              <w:jc w:val="right"/>
            </w:pPr>
            <w:r>
              <w:rPr>
                <w:b w:val="0"/>
                <w:i w:val="0"/>
                <w:strike w:val="0"/>
                <w:u w:val="none"/>
              </w:rPr>
              <w:t>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24百福投资MTN001</w:t>
            </w:r>
          </w:p>
        </w:tc>
        <w:tc>
          <w:tcPr>
            <w:tcW w:w="2693" w:type="dxa"/>
            <w:shd w:val="clear" w:color="auto" w:fill="auto"/>
            <w:vAlign w:val="center"/>
          </w:tcPr>
          <w:p>
            <w:pPr>
              <w:ind w:hanging="1"/>
              <w:jc w:val="right"/>
            </w:pPr>
            <w:r>
              <w:rPr>
                <w:b w:val="0"/>
                <w:i w:val="0"/>
                <w:strike w:val="0"/>
                <w:u w:val="none"/>
              </w:rPr>
              <w:t>2,099,150.68</w:t>
            </w:r>
          </w:p>
        </w:tc>
        <w:tc>
          <w:tcPr>
            <w:tcW w:w="2431" w:type="dxa"/>
            <w:shd w:val="clear" w:color="auto" w:fill="auto"/>
            <w:vAlign w:val="center"/>
          </w:tcPr>
          <w:p>
            <w:pPr>
              <w:ind w:hanging="1"/>
              <w:jc w:val="right"/>
            </w:pPr>
            <w:r>
              <w:rPr>
                <w:b w:val="0"/>
                <w:i w:val="0"/>
                <w:strike w:val="0"/>
                <w:u w:val="none"/>
              </w:rPr>
              <w:t>4.84</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2" w:name="_GoBack" w:colFirst="0" w:colLast="0"/>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54018-湖南银行皖江金租20250509</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10,160,437.35</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23.43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24洞庭01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3,639,415.07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8.39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24电YK01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3,437,276.11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7.93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24郴新01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2,954,069.04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6.81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21岳阳交投01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2,423,351.01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5.59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25进出清发01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2,415,274.52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5.57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21郑州银行永续债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2,162,473.56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4.99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24百福投资MTN001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2,099,150.68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4.84</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23望城城投债02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1,896,789.79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4.37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21邵阳城投PPN001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1,829,758.30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4.22</w:t>
            </w:r>
          </w:p>
        </w:tc>
      </w:tr>
      <w:bookmarkEnd w:id="2"/>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731903861410213</w:t>
            </w:r>
          </w:p>
        </w:tc>
        <w:tc>
          <w:tcPr>
            <w:tcW w:w="2693" w:type="dxa"/>
            <w:shd w:val="clear" w:color="auto" w:fill="auto"/>
            <w:vAlign w:val="center"/>
          </w:tcPr>
          <w:p>
            <w:pPr>
              <w:spacing w:before="100" w:beforeAutospacing="1" w:after="100" w:afterAutospacing="1"/>
            </w:pPr>
            <w:r>
              <w:t>湖南银行股份有限公司-融智理财添利系列-D540-18理财产品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54018-湖南银行皖江金租20250509</w:t>
            </w:r>
          </w:p>
        </w:tc>
        <w:tc>
          <w:tcPr>
            <w:tcW w:w="1336" w:type="dxa"/>
            <w:shd w:val="clear" w:color="auto" w:fill="auto"/>
            <w:vAlign w:val="center"/>
          </w:tcPr>
          <w:p>
            <w:pPr>
              <w:spacing w:before="100" w:beforeAutospacing="1" w:after="100" w:afterAutospacing="1"/>
            </w:pPr>
            <w:r>
              <w:t>皖江金融租赁股份有限公司</w:t>
            </w:r>
          </w:p>
        </w:tc>
        <w:tc>
          <w:tcPr>
            <w:tcW w:w="1295" w:type="dxa"/>
            <w:shd w:val="clear" w:color="auto" w:fill="auto"/>
            <w:vAlign w:val="center"/>
          </w:tcPr>
          <w:p>
            <w:pPr>
              <w:spacing w:before="100" w:beforeAutospacing="1" w:after="100" w:afterAutospacing="1"/>
            </w:pPr>
            <w:r>
              <w:t>149</w:t>
            </w:r>
          </w:p>
        </w:tc>
        <w:tc>
          <w:tcPr>
            <w:tcW w:w="1514" w:type="dxa"/>
            <w:shd w:val="clear" w:color="auto" w:fill="auto"/>
            <w:vAlign w:val="center"/>
          </w:tcPr>
          <w:p>
            <w:pPr>
              <w:spacing w:before="100" w:beforeAutospacing="1" w:after="100" w:afterAutospacing="1"/>
            </w:pPr>
            <w:r>
              <w:t>正常</w:t>
            </w:r>
          </w:p>
        </w:tc>
        <w:tc>
          <w:tcPr>
            <w:tcW w:w="1527" w:type="dxa"/>
            <w:shd w:val="clear" w:color="auto" w:fill="auto"/>
            <w:vAlign w:val="center"/>
          </w:tcPr>
          <w:p>
            <w:pPr>
              <w:spacing w:before="100" w:beforeAutospacing="1" w:after="100" w:afterAutospacing="1"/>
            </w:pPr>
            <w:r>
              <w:t>2.5</w:t>
            </w:r>
          </w:p>
        </w:tc>
        <w:tc>
          <w:tcPr>
            <w:tcW w:w="1624" w:type="dxa"/>
            <w:shd w:val="clear" w:color="auto" w:fill="auto"/>
            <w:vAlign w:val="center"/>
          </w:tcPr>
          <w:p>
            <w:pPr>
              <w:spacing w:before="100" w:beforeAutospacing="1" w:after="100" w:afterAutospacing="1"/>
            </w:pPr>
            <w:r>
              <w:t>同业借款</w:t>
            </w: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1A358E"/>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1</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2026-01-23T03:28:10Z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