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融智理财添利系列-D540-2理财产品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融智理财添利系列-D540-2理财产品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28,029,000.00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100.50%</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21.02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131,193.69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165,777.43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28,507,252.26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28,507,252.26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1.2102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22,649,314.04</w:t>
            </w:r>
          </w:p>
        </w:tc>
        <w:tc>
          <w:tcPr>
            <w:tcW w:w="1749" w:type="dxa"/>
            <w:shd w:val="clear" w:color="auto" w:fill="auto"/>
            <w:vAlign w:val="center"/>
          </w:tcPr>
          <w:p>
            <w:pPr>
              <w:jc w:val="right"/>
            </w:pPr>
            <w:r>
              <w:t>79.06</w:t>
            </w:r>
          </w:p>
        </w:tc>
        <w:tc>
          <w:tcPr>
            <w:tcW w:w="1653" w:type="dxa"/>
            <w:vAlign w:val="center"/>
          </w:tcPr>
          <w:p>
            <w:pPr>
              <w:jc w:val="right"/>
            </w:pPr>
            <w:r>
              <w:t>5,598,062.98</w:t>
            </w:r>
          </w:p>
        </w:tc>
        <w:tc>
          <w:tcPr>
            <w:tcW w:w="1705" w:type="dxa"/>
            <w:vAlign w:val="center"/>
          </w:tcPr>
          <w:p>
            <w:pPr>
              <w:jc w:val="right"/>
            </w:pPr>
            <w:r>
              <w:t>19.54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22,649,314.04</w:t>
            </w:r>
          </w:p>
        </w:tc>
        <w:tc>
          <w:tcPr>
            <w:tcW w:w="1749" w:type="dxa"/>
            <w:shd w:val="clear" w:color="auto" w:fill="auto"/>
            <w:vAlign w:val="center"/>
          </w:tcPr>
          <w:p>
            <w:pPr>
              <w:jc w:val="right"/>
            </w:pPr>
            <w:r>
              <w:t>79.06</w:t>
            </w:r>
          </w:p>
        </w:tc>
        <w:tc>
          <w:tcPr>
            <w:tcW w:w="1653" w:type="dxa"/>
            <w:vAlign w:val="center"/>
          </w:tcPr>
          <w:p>
            <w:pPr>
              <w:jc w:val="right"/>
            </w:pPr>
            <w:r>
              <w:t>5,598,062.98</w:t>
            </w:r>
          </w:p>
        </w:tc>
        <w:tc>
          <w:tcPr>
            <w:tcW w:w="1705" w:type="dxa"/>
            <w:vAlign w:val="center"/>
          </w:tcPr>
          <w:p>
            <w:pPr>
              <w:jc w:val="right"/>
            </w:pPr>
            <w:r>
              <w:t>19.54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353,473.06</w:t>
            </w:r>
          </w:p>
        </w:tc>
        <w:tc>
          <w:tcPr>
            <w:tcW w:w="1749" w:type="dxa"/>
            <w:shd w:val="clear" w:color="auto" w:fill="auto"/>
            <w:vAlign w:val="center"/>
          </w:tcPr>
          <w:p>
            <w:pPr>
              <w:jc w:val="right"/>
            </w:pPr>
            <w:r>
              <w:t>1.23</w:t>
            </w:r>
          </w:p>
        </w:tc>
        <w:tc>
          <w:tcPr>
            <w:tcW w:w="1653" w:type="dxa"/>
            <w:vAlign w:val="center"/>
          </w:tcPr>
          <w:p>
            <w:pPr>
              <w:jc w:val="right"/>
            </w:pPr>
            <w:r>
              <w:t>52,354.34</w:t>
            </w:r>
          </w:p>
        </w:tc>
        <w:tc>
          <w:tcPr>
            <w:tcW w:w="1705" w:type="dxa"/>
            <w:vAlign w:val="center"/>
          </w:tcPr>
          <w:p>
            <w:pPr>
              <w:jc w:val="right"/>
            </w:pPr>
            <w: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5,646,938.24</w:t>
            </w:r>
          </w:p>
        </w:tc>
        <w:tc>
          <w:tcPr>
            <w:tcW w:w="1749" w:type="dxa"/>
            <w:shd w:val="clear" w:color="auto" w:fill="auto"/>
            <w:vAlign w:val="center"/>
          </w:tcPr>
          <w:p>
            <w:pPr>
              <w:jc w:val="right"/>
            </w:pPr>
            <w:r>
              <w:t>19.71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28,649,725.34</w:t>
            </w:r>
          </w:p>
        </w:tc>
        <w:tc>
          <w:tcPr>
            <w:tcW w:w="1749" w:type="dxa"/>
            <w:shd w:val="clear" w:color="auto" w:fill="auto"/>
          </w:tcPr>
          <w:p>
            <w:pPr>
              <w:jc w:val="right"/>
            </w:pPr>
            <w:r>
              <w:t>100.00</w:t>
            </w:r>
          </w:p>
        </w:tc>
        <w:tc>
          <w:tcPr>
            <w:tcW w:w="1653" w:type="dxa"/>
          </w:tcPr>
          <w:p>
            <w:pPr>
              <w:jc w:val="right"/>
            </w:pPr>
            <w:r>
              <w:t>5,650,417.32</w:t>
            </w:r>
          </w:p>
        </w:tc>
        <w:tc>
          <w:tcPr>
            <w:tcW w:w="1705" w:type="dxa"/>
          </w:tcPr>
          <w:p>
            <w:pPr>
              <w:jc w:val="right"/>
            </w:pPr>
            <w:r>
              <w:t>19.72</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6.89%；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5,646,938.24</w:t>
            </w:r>
          </w:p>
        </w:tc>
        <w:tc>
          <w:tcPr>
            <w:tcW w:w="2431" w:type="dxa"/>
            <w:shd w:val="clear" w:color="auto" w:fill="auto"/>
            <w:vAlign w:val="center"/>
          </w:tcPr>
          <w:p>
            <w:pPr>
              <w:jc w:val="right"/>
            </w:pPr>
            <w:r>
              <w:t>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2,586,232.88</w:t>
            </w:r>
          </w:p>
        </w:tc>
        <w:tc>
          <w:tcPr>
            <w:tcW w:w="2431" w:type="dxa"/>
            <w:shd w:val="clear" w:color="auto" w:fill="auto"/>
            <w:vAlign w:val="center"/>
          </w:tcPr>
          <w:p>
            <w:pPr>
              <w:ind w:hanging="1"/>
              <w:jc w:val="right"/>
            </w:pPr>
            <w:r>
              <w:rPr>
                <w:b w:val="0"/>
                <w:i w:val="0"/>
                <w:strike w:val="0"/>
                <w:u w:val="none"/>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25华润银行永续债01</w:t>
            </w:r>
          </w:p>
        </w:tc>
        <w:tc>
          <w:tcPr>
            <w:tcW w:w="2693" w:type="dxa"/>
            <w:shd w:val="clear" w:color="auto" w:fill="auto"/>
            <w:vAlign w:val="center"/>
          </w:tcPr>
          <w:p>
            <w:pPr>
              <w:ind w:hanging="1"/>
              <w:jc w:val="right"/>
            </w:pPr>
            <w:r>
              <w:rPr>
                <w:b w:val="0"/>
                <w:i w:val="0"/>
                <w:strike w:val="0"/>
                <w:u w:val="none"/>
              </w:rPr>
              <w:t>2,319,247.53</w:t>
            </w:r>
          </w:p>
        </w:tc>
        <w:tc>
          <w:tcPr>
            <w:tcW w:w="2431" w:type="dxa"/>
            <w:shd w:val="clear" w:color="auto" w:fill="auto"/>
            <w:vAlign w:val="center"/>
          </w:tcPr>
          <w:p>
            <w:pPr>
              <w:ind w:hanging="1"/>
              <w:jc w:val="right"/>
            </w:pPr>
            <w:r>
              <w:rPr>
                <w:b w:val="0"/>
                <w:i w:val="0"/>
                <w:strike w:val="0"/>
                <w:u w:val="none"/>
              </w:rP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2,311,362.19</w:t>
            </w:r>
          </w:p>
        </w:tc>
        <w:tc>
          <w:tcPr>
            <w:tcW w:w="2431" w:type="dxa"/>
            <w:shd w:val="clear" w:color="auto" w:fill="auto"/>
            <w:vAlign w:val="center"/>
          </w:tcPr>
          <w:p>
            <w:pPr>
              <w:ind w:hanging="1"/>
              <w:jc w:val="right"/>
            </w:pPr>
            <w:r>
              <w:rPr>
                <w:b w:val="0"/>
                <w:i w:val="0"/>
                <w:strike w:val="0"/>
                <w:u w:val="none"/>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2,119,309.59</w:t>
            </w:r>
          </w:p>
        </w:tc>
        <w:tc>
          <w:tcPr>
            <w:tcW w:w="2431" w:type="dxa"/>
            <w:shd w:val="clear" w:color="auto" w:fill="auto"/>
            <w:vAlign w:val="center"/>
          </w:tcPr>
          <w:p>
            <w:pPr>
              <w:ind w:hanging="1"/>
              <w:jc w:val="right"/>
            </w:pPr>
            <w:r>
              <w:rPr>
                <w:b w:val="0"/>
                <w:i w:val="0"/>
                <w:strike w:val="0"/>
                <w:u w:val="none"/>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24株金01</w:t>
            </w:r>
          </w:p>
        </w:tc>
        <w:tc>
          <w:tcPr>
            <w:tcW w:w="2693" w:type="dxa"/>
            <w:shd w:val="clear" w:color="auto" w:fill="auto"/>
            <w:vAlign w:val="center"/>
          </w:tcPr>
          <w:p>
            <w:pPr>
              <w:ind w:hanging="1"/>
              <w:jc w:val="right"/>
            </w:pPr>
            <w:r>
              <w:rPr>
                <w:b w:val="0"/>
                <w:i w:val="0"/>
                <w:strike w:val="0"/>
                <w:u w:val="none"/>
              </w:rPr>
              <w:t>2,109,687.12</w:t>
            </w:r>
          </w:p>
        </w:tc>
        <w:tc>
          <w:tcPr>
            <w:tcW w:w="2431" w:type="dxa"/>
            <w:shd w:val="clear" w:color="auto" w:fill="auto"/>
            <w:vAlign w:val="center"/>
          </w:tcPr>
          <w:p>
            <w:pPr>
              <w:ind w:hanging="1"/>
              <w:jc w:val="right"/>
            </w:pPr>
            <w:r>
              <w:rPr>
                <w:b w:val="0"/>
                <w:i w:val="0"/>
                <w:strike w:val="0"/>
                <w:u w:val="none"/>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24娄底城发PPN001</w:t>
            </w:r>
          </w:p>
        </w:tc>
        <w:tc>
          <w:tcPr>
            <w:tcW w:w="2693" w:type="dxa"/>
            <w:shd w:val="clear" w:color="auto" w:fill="auto"/>
            <w:vAlign w:val="center"/>
          </w:tcPr>
          <w:p>
            <w:pPr>
              <w:ind w:hanging="1"/>
              <w:jc w:val="right"/>
            </w:pPr>
            <w:r>
              <w:rPr>
                <w:b w:val="0"/>
                <w:i w:val="0"/>
                <w:strike w:val="0"/>
                <w:u w:val="none"/>
              </w:rPr>
              <w:t>2,072,097.53</w:t>
            </w:r>
          </w:p>
        </w:tc>
        <w:tc>
          <w:tcPr>
            <w:tcW w:w="2431" w:type="dxa"/>
            <w:shd w:val="clear" w:color="auto" w:fill="auto"/>
            <w:vAlign w:val="center"/>
          </w:tcPr>
          <w:p>
            <w:pPr>
              <w:ind w:hanging="1"/>
              <w:jc w:val="right"/>
            </w:pPr>
            <w:r>
              <w:rPr>
                <w:b w:val="0"/>
                <w:i w:val="0"/>
                <w:strike w:val="0"/>
                <w:u w:val="none"/>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1,708,522.96</w:t>
            </w:r>
          </w:p>
        </w:tc>
        <w:tc>
          <w:tcPr>
            <w:tcW w:w="2431" w:type="dxa"/>
            <w:shd w:val="clear" w:color="auto" w:fill="auto"/>
            <w:vAlign w:val="center"/>
          </w:tcPr>
          <w:p>
            <w:pPr>
              <w:ind w:hanging="1"/>
              <w:jc w:val="right"/>
            </w:pPr>
            <w:r>
              <w:rPr>
                <w:b w:val="0"/>
                <w:i w:val="0"/>
                <w:strike w:val="0"/>
                <w:u w:val="none"/>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1,610,183.01</w:t>
            </w:r>
          </w:p>
        </w:tc>
        <w:tc>
          <w:tcPr>
            <w:tcW w:w="2431" w:type="dxa"/>
            <w:shd w:val="clear" w:color="auto" w:fill="auto"/>
            <w:vAlign w:val="center"/>
          </w:tcPr>
          <w:p>
            <w:pPr>
              <w:ind w:hanging="1"/>
              <w:jc w:val="right"/>
            </w:pPr>
            <w:r>
              <w:rPr>
                <w:b w:val="0"/>
                <w:i w:val="0"/>
                <w:strike w:val="0"/>
                <w:u w:val="none"/>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1,209,286.03</w:t>
            </w:r>
          </w:p>
        </w:tc>
        <w:tc>
          <w:tcPr>
            <w:tcW w:w="2431" w:type="dxa"/>
            <w:shd w:val="clear" w:color="auto" w:fill="auto"/>
            <w:vAlign w:val="center"/>
          </w:tcPr>
          <w:p>
            <w:pPr>
              <w:ind w:hanging="1"/>
              <w:jc w:val="right"/>
            </w:pPr>
            <w:r>
              <w:rPr>
                <w:b w:val="0"/>
                <w:i w:val="0"/>
                <w:strike w:val="0"/>
                <w:u w:val="none"/>
              </w:rPr>
              <w:t>4.24</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24浏城01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2,586,232.88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25华润银行永续债01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2,319,247.53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2,311,362.19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2,119,309.59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2,109,687.12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24娄底城发PPN001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2,072,097.53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1,708,522.96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1,610,183.01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5.65</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1,365,057.54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1,316,817.17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4.62</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731903861410224</w:t>
            </w:r>
          </w:p>
        </w:tc>
        <w:tc>
          <w:tcPr>
            <w:tcW w:w="2693" w:type="dxa"/>
            <w:shd w:val="clear" w:color="auto" w:fill="auto"/>
            <w:vAlign w:val="center"/>
          </w:tcPr>
          <w:p>
            <w:pPr>
              <w:spacing w:before="100" w:beforeAutospacing="1" w:after="100" w:afterAutospacing="1"/>
            </w:pPr>
            <w:r>
              <w:t>湖南银行股份有限公司-融智理财添利系列-D540-2理财产品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1511081"/>
    <w:rsid w:val="36A4019A"/>
    <w:rsid w:val="387005BF"/>
    <w:rsid w:val="3BF14519"/>
    <w:rsid w:val="3CD5770B"/>
    <w:rsid w:val="3F2303CA"/>
    <w:rsid w:val="40C95454"/>
    <w:rsid w:val="41954087"/>
    <w:rsid w:val="46BD0280"/>
    <w:rsid w:val="47492D5E"/>
    <w:rsid w:val="47B462D0"/>
    <w:rsid w:val="49162E5D"/>
    <w:rsid w:val="4C1A69E7"/>
    <w:rsid w:val="4DA551BD"/>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401</Words>
  <Characters>2291</Characters>
  <Lines>19</Lines>
  <Paragraphs>5</Paragraphs>
  <TotalTime>9</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2026-01-23T01:28:15Z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