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融智理财添利系列年开9号理财产品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融智理财添利系列年开9号理财产品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26,754,000.00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[1.8%-3.3%]/年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100.11%</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13.95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719,766.45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166,469.44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26,776,075.03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26,776,075.03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1.1395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25,686,167.13</w:t>
            </w:r>
          </w:p>
        </w:tc>
        <w:tc>
          <w:tcPr>
            <w:tcW w:w="1749" w:type="dxa"/>
            <w:shd w:val="clear" w:color="auto" w:fill="auto"/>
            <w:vAlign w:val="center"/>
          </w:tcPr>
          <w:p>
            <w:pPr>
              <w:jc w:val="right"/>
            </w:pPr>
            <w:r>
              <w:t>95.83</w:t>
            </w:r>
          </w:p>
        </w:tc>
        <w:tc>
          <w:tcPr>
            <w:tcW w:w="1653" w:type="dxa"/>
            <w:vAlign w:val="center"/>
          </w:tcPr>
          <w:p>
            <w:pPr>
              <w:jc w:val="right"/>
            </w:pPr>
            <w:r>
              <w:t>868,874.86</w:t>
            </w:r>
          </w:p>
        </w:tc>
        <w:tc>
          <w:tcPr>
            <w:tcW w:w="1705" w:type="dxa"/>
            <w:vAlign w:val="center"/>
          </w:tcPr>
          <w:p>
            <w:pPr>
              <w:jc w:val="right"/>
            </w:pPr>
            <w: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25,686,167.13</w:t>
            </w:r>
          </w:p>
        </w:tc>
        <w:tc>
          <w:tcPr>
            <w:tcW w:w="1749" w:type="dxa"/>
            <w:shd w:val="clear" w:color="auto" w:fill="auto"/>
            <w:vAlign w:val="center"/>
          </w:tcPr>
          <w:p>
            <w:pPr>
              <w:jc w:val="right"/>
            </w:pPr>
            <w:r>
              <w:t>95.83</w:t>
            </w:r>
          </w:p>
        </w:tc>
        <w:tc>
          <w:tcPr>
            <w:tcW w:w="1653" w:type="dxa"/>
            <w:vAlign w:val="center"/>
          </w:tcPr>
          <w:p>
            <w:pPr>
              <w:jc w:val="right"/>
            </w:pPr>
            <w:r>
              <w:t>868,874.86</w:t>
            </w:r>
          </w:p>
        </w:tc>
        <w:tc>
          <w:tcPr>
            <w:tcW w:w="1705" w:type="dxa"/>
            <w:vAlign w:val="center"/>
          </w:tcPr>
          <w:p>
            <w:pPr>
              <w:jc w:val="right"/>
            </w:pPr>
            <w: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293,654.19</w:t>
            </w:r>
          </w:p>
        </w:tc>
        <w:tc>
          <w:tcPr>
            <w:tcW w:w="1749" w:type="dxa"/>
            <w:shd w:val="clear" w:color="auto" w:fill="auto"/>
            <w:vAlign w:val="center"/>
          </w:tcPr>
          <w:p>
            <w:pPr>
              <w:jc w:val="right"/>
            </w:pPr>
            <w:r>
              <w:t>1.10</w:t>
            </w:r>
          </w:p>
        </w:tc>
        <w:tc>
          <w:tcPr>
            <w:tcW w:w="1653" w:type="dxa"/>
            <w:vAlign w:val="center"/>
          </w:tcPr>
          <w:p>
            <w:pPr>
              <w:jc w:val="right"/>
            </w:pPr>
            <w:r>
              <w:t>9,514.30</w:t>
            </w:r>
          </w:p>
        </w:tc>
        <w:tc>
          <w:tcPr>
            <w:tcW w:w="1705" w:type="dxa"/>
            <w:vAlign w:val="center"/>
          </w:tcPr>
          <w:p>
            <w:pPr>
              <w:jc w:val="right"/>
            </w:pPr>
            <w: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825,405.94</w:t>
            </w:r>
          </w:p>
        </w:tc>
        <w:tc>
          <w:tcPr>
            <w:tcW w:w="1749" w:type="dxa"/>
            <w:shd w:val="clear" w:color="auto" w:fill="auto"/>
            <w:vAlign w:val="center"/>
          </w:tcPr>
          <w:p>
            <w:pPr>
              <w:jc w:val="right"/>
            </w:pPr>
            <w:r>
              <w:t>3.08</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0.52</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26,805,227.26</w:t>
            </w:r>
          </w:p>
        </w:tc>
        <w:tc>
          <w:tcPr>
            <w:tcW w:w="1749" w:type="dxa"/>
            <w:shd w:val="clear" w:color="auto" w:fill="auto"/>
          </w:tcPr>
          <w:p>
            <w:pPr>
              <w:jc w:val="right"/>
            </w:pPr>
            <w:r>
              <w:t>100.00</w:t>
            </w:r>
          </w:p>
        </w:tc>
        <w:tc>
          <w:tcPr>
            <w:tcW w:w="1653" w:type="dxa"/>
          </w:tcPr>
          <w:p>
            <w:pPr>
              <w:jc w:val="right"/>
            </w:pPr>
            <w:r>
              <w:t>878,389.68</w:t>
            </w:r>
          </w:p>
        </w:tc>
        <w:tc>
          <w:tcPr>
            <w:tcW w:w="1705" w:type="dxa"/>
          </w:tcPr>
          <w:p>
            <w:pPr>
              <w:jc w:val="right"/>
            </w:pPr>
            <w:r>
              <w:t>3.28</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6.78%；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24浏城01</w:t>
            </w:r>
          </w:p>
        </w:tc>
        <w:tc>
          <w:tcPr>
            <w:tcW w:w="2693" w:type="dxa"/>
            <w:shd w:val="clear" w:color="auto" w:fill="auto"/>
            <w:vAlign w:val="center"/>
          </w:tcPr>
          <w:p>
            <w:pPr>
              <w:jc w:val="right"/>
            </w:pPr>
            <w:r>
              <w:t>2,482,783.56</w:t>
            </w:r>
          </w:p>
        </w:tc>
        <w:tc>
          <w:tcPr>
            <w:tcW w:w="2431" w:type="dxa"/>
            <w:shd w:val="clear" w:color="auto" w:fill="auto"/>
            <w:vAlign w:val="center"/>
          </w:tcPr>
          <w:p>
            <w:pPr>
              <w:jc w:val="right"/>
            </w:pPr>
            <w:r>
              <w:t>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24郴新01</w:t>
            </w:r>
          </w:p>
        </w:tc>
        <w:tc>
          <w:tcPr>
            <w:tcW w:w="2693" w:type="dxa"/>
            <w:shd w:val="clear" w:color="auto" w:fill="auto"/>
            <w:vAlign w:val="center"/>
          </w:tcPr>
          <w:p>
            <w:pPr>
              <w:ind w:hanging="1"/>
              <w:jc w:val="right"/>
            </w:pPr>
            <w:r>
              <w:rPr>
                <w:b w:val="0"/>
                <w:i w:val="0"/>
                <w:strike w:val="0"/>
                <w:u w:val="none"/>
              </w:rPr>
              <w:t>2,426,556.71</w:t>
            </w:r>
          </w:p>
        </w:tc>
        <w:tc>
          <w:tcPr>
            <w:tcW w:w="2431" w:type="dxa"/>
            <w:shd w:val="clear" w:color="auto" w:fill="auto"/>
            <w:vAlign w:val="center"/>
          </w:tcPr>
          <w:p>
            <w:pPr>
              <w:ind w:hanging="1"/>
              <w:jc w:val="right"/>
            </w:pPr>
            <w:r>
              <w:rPr>
                <w:b w:val="0"/>
                <w:i w:val="0"/>
                <w:strike w:val="0"/>
                <w:u w:val="none"/>
              </w:rPr>
              <w:t>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2,416,424.11</w:t>
            </w:r>
          </w:p>
        </w:tc>
        <w:tc>
          <w:tcPr>
            <w:tcW w:w="2431" w:type="dxa"/>
            <w:shd w:val="clear" w:color="auto" w:fill="auto"/>
            <w:vAlign w:val="center"/>
          </w:tcPr>
          <w:p>
            <w:pPr>
              <w:ind w:hanging="1"/>
              <w:jc w:val="right"/>
            </w:pPr>
            <w:r>
              <w:rPr>
                <w:b w:val="0"/>
                <w:i w:val="0"/>
                <w:strike w:val="0"/>
                <w:u w:val="none"/>
              </w:rPr>
              <w:t>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2,400,072.05</w:t>
            </w:r>
          </w:p>
        </w:tc>
        <w:tc>
          <w:tcPr>
            <w:tcW w:w="2431" w:type="dxa"/>
            <w:shd w:val="clear" w:color="auto" w:fill="auto"/>
            <w:vAlign w:val="center"/>
          </w:tcPr>
          <w:p>
            <w:pPr>
              <w:ind w:hanging="1"/>
              <w:jc w:val="right"/>
            </w:pPr>
            <w:r>
              <w:rPr>
                <w:b w:val="0"/>
                <w:i w:val="0"/>
                <w:strike w:val="0"/>
                <w:u w:val="none"/>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23衡高K1</w:t>
            </w:r>
          </w:p>
        </w:tc>
        <w:tc>
          <w:tcPr>
            <w:tcW w:w="2693" w:type="dxa"/>
            <w:shd w:val="clear" w:color="auto" w:fill="auto"/>
            <w:vAlign w:val="center"/>
          </w:tcPr>
          <w:p>
            <w:pPr>
              <w:ind w:hanging="1"/>
              <w:jc w:val="right"/>
            </w:pPr>
            <w:r>
              <w:rPr>
                <w:b w:val="0"/>
                <w:i w:val="0"/>
                <w:strike w:val="0"/>
                <w:u w:val="none"/>
              </w:rPr>
              <w:t>2,379,522.66</w:t>
            </w:r>
          </w:p>
        </w:tc>
        <w:tc>
          <w:tcPr>
            <w:tcW w:w="2431" w:type="dxa"/>
            <w:shd w:val="clear" w:color="auto" w:fill="auto"/>
            <w:vAlign w:val="center"/>
          </w:tcPr>
          <w:p>
            <w:pPr>
              <w:ind w:hanging="1"/>
              <w:jc w:val="right"/>
            </w:pPr>
            <w:r>
              <w:rPr>
                <w:b w:val="0"/>
                <w:i w:val="0"/>
                <w:strike w:val="0"/>
                <w:u w:val="none"/>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23振湘03</w:t>
            </w:r>
          </w:p>
        </w:tc>
        <w:tc>
          <w:tcPr>
            <w:tcW w:w="2693" w:type="dxa"/>
            <w:shd w:val="clear" w:color="auto" w:fill="auto"/>
            <w:vAlign w:val="center"/>
          </w:tcPr>
          <w:p>
            <w:pPr>
              <w:ind w:hanging="1"/>
              <w:jc w:val="right"/>
            </w:pPr>
            <w:r>
              <w:rPr>
                <w:b w:val="0"/>
                <w:i w:val="0"/>
                <w:strike w:val="0"/>
                <w:u w:val="none"/>
              </w:rPr>
              <w:t>2,256,555.07</w:t>
            </w:r>
          </w:p>
        </w:tc>
        <w:tc>
          <w:tcPr>
            <w:tcW w:w="2431" w:type="dxa"/>
            <w:shd w:val="clear" w:color="auto" w:fill="auto"/>
            <w:vAlign w:val="center"/>
          </w:tcPr>
          <w:p>
            <w:pPr>
              <w:ind w:hanging="1"/>
              <w:jc w:val="right"/>
            </w:pPr>
            <w:r>
              <w:rPr>
                <w:b w:val="0"/>
                <w:i w:val="0"/>
                <w:strike w:val="0"/>
                <w:u w:val="none"/>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2,234,791.89</w:t>
            </w:r>
          </w:p>
        </w:tc>
        <w:tc>
          <w:tcPr>
            <w:tcW w:w="2431" w:type="dxa"/>
            <w:shd w:val="clear" w:color="auto" w:fill="auto"/>
            <w:vAlign w:val="center"/>
          </w:tcPr>
          <w:p>
            <w:pPr>
              <w:ind w:hanging="1"/>
              <w:jc w:val="right"/>
            </w:pPr>
            <w:r>
              <w:rPr>
                <w:b w:val="0"/>
                <w:i w:val="0"/>
                <w:strike w:val="0"/>
                <w:u w:val="none"/>
              </w:rPr>
              <w:t>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20嘉禾01</w:t>
            </w:r>
          </w:p>
        </w:tc>
        <w:tc>
          <w:tcPr>
            <w:tcW w:w="2693" w:type="dxa"/>
            <w:shd w:val="clear" w:color="auto" w:fill="auto"/>
            <w:vAlign w:val="center"/>
          </w:tcPr>
          <w:p>
            <w:pPr>
              <w:ind w:hanging="1"/>
              <w:jc w:val="right"/>
            </w:pPr>
            <w:r>
              <w:rPr>
                <w:b w:val="0"/>
                <w:i w:val="0"/>
                <w:strike w:val="0"/>
                <w:u w:val="none"/>
              </w:rPr>
              <w:t>1,901,922.60</w:t>
            </w:r>
          </w:p>
        </w:tc>
        <w:tc>
          <w:tcPr>
            <w:tcW w:w="2431" w:type="dxa"/>
            <w:shd w:val="clear" w:color="auto" w:fill="auto"/>
            <w:vAlign w:val="center"/>
          </w:tcPr>
          <w:p>
            <w:pPr>
              <w:ind w:hanging="1"/>
              <w:jc w:val="right"/>
            </w:pPr>
            <w:r>
              <w:rPr>
                <w:b w:val="0"/>
                <w:i w:val="0"/>
                <w:strike w:val="0"/>
                <w:u w:val="none"/>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23潇湘01</w:t>
            </w:r>
          </w:p>
        </w:tc>
        <w:tc>
          <w:tcPr>
            <w:tcW w:w="2693" w:type="dxa"/>
            <w:shd w:val="clear" w:color="auto" w:fill="auto"/>
            <w:vAlign w:val="center"/>
          </w:tcPr>
          <w:p>
            <w:pPr>
              <w:ind w:hanging="1"/>
              <w:jc w:val="right"/>
            </w:pPr>
            <w:r>
              <w:rPr>
                <w:b w:val="0"/>
                <w:i w:val="0"/>
                <w:strike w:val="0"/>
                <w:u w:val="none"/>
              </w:rPr>
              <w:t>1,695,447.67</w:t>
            </w:r>
          </w:p>
        </w:tc>
        <w:tc>
          <w:tcPr>
            <w:tcW w:w="2431" w:type="dxa"/>
            <w:shd w:val="clear" w:color="auto" w:fill="auto"/>
            <w:vAlign w:val="center"/>
          </w:tcPr>
          <w:p>
            <w:pPr>
              <w:ind w:hanging="1"/>
              <w:jc w:val="right"/>
            </w:pPr>
            <w:r>
              <w:rPr>
                <w:b w:val="0"/>
                <w:i w:val="0"/>
                <w:strike w:val="0"/>
                <w:u w:val="none"/>
              </w:rPr>
              <w:t>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1,522,251.37</w:t>
            </w:r>
          </w:p>
        </w:tc>
        <w:tc>
          <w:tcPr>
            <w:tcW w:w="2431" w:type="dxa"/>
            <w:shd w:val="clear" w:color="auto" w:fill="auto"/>
            <w:vAlign w:val="center"/>
          </w:tcPr>
          <w:p>
            <w:pPr>
              <w:ind w:hanging="1"/>
              <w:jc w:val="right"/>
            </w:pPr>
            <w:r>
              <w:rPr>
                <w:b w:val="0"/>
                <w:i w:val="0"/>
                <w:strike w:val="0"/>
                <w:u w:val="none"/>
              </w:rPr>
              <w:t>5.69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0" w:colLast="0"/>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24浏城01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2,482,783.56</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9.27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24郴新01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2,426,556.71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2,416,424.11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2,400,072.05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23衡高K1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2,379,522.66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23振湘03</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2,256,555.07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PR龙岭债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2,234,791.89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8.35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20嘉禾01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1,901,922.60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23潇湘01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1,695,447.67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1,522,251.37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5.69</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731903861410122</w:t>
            </w:r>
          </w:p>
        </w:tc>
        <w:tc>
          <w:tcPr>
            <w:tcW w:w="2693" w:type="dxa"/>
            <w:shd w:val="clear" w:color="auto" w:fill="auto"/>
            <w:vAlign w:val="center"/>
          </w:tcPr>
          <w:p>
            <w:pPr>
              <w:spacing w:before="100" w:beforeAutospacing="1" w:after="100" w:afterAutospacing="1"/>
            </w:pPr>
            <w:r>
              <w:t>湖南银行股份有限公司-融智理财添利系列年开9号理财产品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B76F33"/>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2026-01-23T03:29:34Z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