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融智理财添利系列-D540-17理财产品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融智理财添利系列-D540-17理财产品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36,667,000.00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100.56%</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15.53</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174,576.50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218,870.47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37,455,708.55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37,455,708.55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1.1553</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19,285,545.41</w:t>
            </w:r>
          </w:p>
        </w:tc>
        <w:tc>
          <w:tcPr>
            <w:tcW w:w="1749" w:type="dxa"/>
            <w:shd w:val="clear" w:color="auto" w:fill="auto"/>
            <w:vAlign w:val="center"/>
          </w:tcPr>
          <w:p>
            <w:pPr>
              <w:jc w:val="right"/>
            </w:pPr>
            <w:r>
              <w:t>51.20</w:t>
            </w:r>
          </w:p>
        </w:tc>
        <w:tc>
          <w:tcPr>
            <w:tcW w:w="1653" w:type="dxa"/>
            <w:vAlign w:val="center"/>
          </w:tcPr>
          <w:p>
            <w:pPr>
              <w:jc w:val="right"/>
            </w:pPr>
            <w:r>
              <w:t>7,832,580.11</w:t>
            </w:r>
          </w:p>
        </w:tc>
        <w:tc>
          <w:tcPr>
            <w:tcW w:w="1705" w:type="dxa"/>
            <w:vAlign w:val="center"/>
          </w:tcPr>
          <w:p>
            <w:pPr>
              <w:jc w:val="right"/>
            </w:pPr>
            <w:r>
              <w:t>20.79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19,285,545.41</w:t>
            </w:r>
          </w:p>
        </w:tc>
        <w:tc>
          <w:tcPr>
            <w:tcW w:w="1749" w:type="dxa"/>
            <w:shd w:val="clear" w:color="auto" w:fill="auto"/>
            <w:vAlign w:val="center"/>
          </w:tcPr>
          <w:p>
            <w:pPr>
              <w:jc w:val="right"/>
            </w:pPr>
            <w:r>
              <w:t>51.20</w:t>
            </w:r>
          </w:p>
        </w:tc>
        <w:tc>
          <w:tcPr>
            <w:tcW w:w="1653" w:type="dxa"/>
            <w:vAlign w:val="center"/>
          </w:tcPr>
          <w:p>
            <w:pPr>
              <w:jc w:val="right"/>
            </w:pPr>
            <w:r>
              <w:t>7,832,580.11</w:t>
            </w:r>
          </w:p>
        </w:tc>
        <w:tc>
          <w:tcPr>
            <w:tcW w:w="1705" w:type="dxa"/>
            <w:vAlign w:val="center"/>
          </w:tcPr>
          <w:p>
            <w:pPr>
              <w:jc w:val="right"/>
            </w:pPr>
            <w:r>
              <w:t>20.79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395,771.51</w:t>
            </w:r>
          </w:p>
        </w:tc>
        <w:tc>
          <w:tcPr>
            <w:tcW w:w="1749" w:type="dxa"/>
            <w:shd w:val="clear" w:color="auto" w:fill="auto"/>
            <w:vAlign w:val="center"/>
          </w:tcPr>
          <w:p>
            <w:pPr>
              <w:jc w:val="right"/>
            </w:pPr>
            <w:r>
              <w:t>1.05</w:t>
            </w:r>
          </w:p>
        </w:tc>
        <w:tc>
          <w:tcPr>
            <w:tcW w:w="1653" w:type="dxa"/>
            <w:vAlign w:val="center"/>
          </w:tcPr>
          <w:p>
            <w:pPr>
              <w:jc w:val="right"/>
            </w:pPr>
            <w:r>
              <w:t>75,311.51</w:t>
            </w:r>
          </w:p>
        </w:tc>
        <w:tc>
          <w:tcPr>
            <w:tcW w:w="1705" w:type="dxa"/>
            <w:vAlign w:val="center"/>
          </w:tcPr>
          <w:p>
            <w:pPr>
              <w:jc w:val="right"/>
            </w:pPr>
            <w: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7,825,232.14</w:t>
            </w:r>
          </w:p>
        </w:tc>
        <w:tc>
          <w:tcPr>
            <w:tcW w:w="1749" w:type="dxa"/>
            <w:shd w:val="clear" w:color="auto" w:fill="auto"/>
            <w:vAlign w:val="center"/>
          </w:tcPr>
          <w:p>
            <w:pPr>
              <w:jc w:val="right"/>
            </w:pPr>
            <w:r>
              <w:t>20.77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10,160,437.35</w:t>
            </w:r>
          </w:p>
        </w:tc>
        <w:tc>
          <w:tcPr>
            <w:tcW w:w="1749" w:type="dxa"/>
            <w:shd w:val="clear" w:color="auto" w:fill="auto"/>
            <w:vAlign w:val="center"/>
          </w:tcPr>
          <w:p>
            <w:pPr>
              <w:jc w:val="right"/>
            </w:pPr>
            <w:r>
              <w:t>26.97</w:t>
            </w:r>
          </w:p>
        </w:tc>
        <w:tc>
          <w:tcPr>
            <w:tcW w:w="1653" w:type="dxa"/>
            <w:vAlign w:val="center"/>
          </w:tcPr>
          <w:p>
            <w:pPr>
              <w:jc w:val="right"/>
            </w:pPr>
            <w:r>
              <w:t>0.77</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37,666,986.41</w:t>
            </w:r>
          </w:p>
        </w:tc>
        <w:tc>
          <w:tcPr>
            <w:tcW w:w="1749" w:type="dxa"/>
            <w:shd w:val="clear" w:color="auto" w:fill="auto"/>
          </w:tcPr>
          <w:p>
            <w:pPr>
              <w:jc w:val="right"/>
            </w:pPr>
            <w:r>
              <w:t>100.00</w:t>
            </w:r>
          </w:p>
        </w:tc>
        <w:tc>
          <w:tcPr>
            <w:tcW w:w="1653" w:type="dxa"/>
          </w:tcPr>
          <w:p>
            <w:pPr>
              <w:jc w:val="right"/>
            </w:pPr>
            <w:r>
              <w:t>7,907,892.39</w:t>
            </w:r>
          </w:p>
        </w:tc>
        <w:tc>
          <w:tcPr>
            <w:tcW w:w="1705" w:type="dxa"/>
          </w:tcPr>
          <w:p>
            <w:pPr>
              <w:jc w:val="right"/>
            </w:pPr>
            <w:r>
              <w:t>20.99</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6.75%；直接或间接持有的非标准化债权资产占比27.13%，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54017-湖南银行皖江金租20250509</w:t>
            </w:r>
          </w:p>
        </w:tc>
        <w:tc>
          <w:tcPr>
            <w:tcW w:w="2693" w:type="dxa"/>
            <w:shd w:val="clear" w:color="auto" w:fill="auto"/>
            <w:vAlign w:val="center"/>
          </w:tcPr>
          <w:p>
            <w:pPr>
              <w:jc w:val="right"/>
            </w:pPr>
            <w:r>
              <w:t>10,160,437.35</w:t>
            </w:r>
          </w:p>
        </w:tc>
        <w:tc>
          <w:tcPr>
            <w:tcW w:w="2431" w:type="dxa"/>
            <w:shd w:val="clear" w:color="auto" w:fill="auto"/>
            <w:vAlign w:val="center"/>
          </w:tcPr>
          <w:p>
            <w:pPr>
              <w:jc w:val="right"/>
            </w:pPr>
            <w:r>
              <w:t>27.13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中信证券湘稳1号集合资产管理计划</w:t>
            </w:r>
          </w:p>
        </w:tc>
        <w:tc>
          <w:tcPr>
            <w:tcW w:w="2693" w:type="dxa"/>
            <w:shd w:val="clear" w:color="auto" w:fill="auto"/>
            <w:vAlign w:val="center"/>
          </w:tcPr>
          <w:p>
            <w:pPr>
              <w:ind w:hanging="1"/>
              <w:jc w:val="right"/>
            </w:pPr>
            <w:r>
              <w:rPr>
                <w:b w:val="0"/>
                <w:i w:val="0"/>
                <w:strike w:val="0"/>
                <w:u w:val="none"/>
              </w:rPr>
              <w:t>6,600,865.66</w:t>
            </w:r>
          </w:p>
        </w:tc>
        <w:tc>
          <w:tcPr>
            <w:tcW w:w="2431" w:type="dxa"/>
            <w:shd w:val="clear" w:color="auto" w:fill="auto"/>
            <w:vAlign w:val="center"/>
          </w:tcPr>
          <w:p>
            <w:pPr>
              <w:ind w:hanging="1"/>
              <w:jc w:val="right"/>
            </w:pPr>
            <w:r>
              <w:rPr>
                <w:b w:val="0"/>
                <w:i w:val="0"/>
                <w:strike w:val="0"/>
                <w:u w:val="none"/>
              </w:rPr>
              <w:t>17.62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24株城02</w:t>
            </w:r>
          </w:p>
        </w:tc>
        <w:tc>
          <w:tcPr>
            <w:tcW w:w="2693" w:type="dxa"/>
            <w:shd w:val="clear" w:color="auto" w:fill="auto"/>
            <w:vAlign w:val="center"/>
          </w:tcPr>
          <w:p>
            <w:pPr>
              <w:ind w:hanging="1"/>
              <w:jc w:val="right"/>
            </w:pPr>
            <w:r>
              <w:rPr>
                <w:b w:val="0"/>
                <w:i w:val="0"/>
                <w:strike w:val="0"/>
                <w:u w:val="none"/>
              </w:rPr>
              <w:t>3,158,810.96</w:t>
            </w:r>
          </w:p>
        </w:tc>
        <w:tc>
          <w:tcPr>
            <w:tcW w:w="2431" w:type="dxa"/>
            <w:shd w:val="clear" w:color="auto" w:fill="auto"/>
            <w:vAlign w:val="center"/>
          </w:tcPr>
          <w:p>
            <w:pPr>
              <w:ind w:hanging="1"/>
              <w:jc w:val="right"/>
            </w:pPr>
            <w:r>
              <w:rPr>
                <w:b w:val="0"/>
                <w:i w:val="0"/>
                <w:strike w:val="0"/>
                <w:u w:val="none"/>
              </w:rPr>
              <w:t>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24豫航空港PPN003</w:t>
            </w:r>
          </w:p>
        </w:tc>
        <w:tc>
          <w:tcPr>
            <w:tcW w:w="2693" w:type="dxa"/>
            <w:shd w:val="clear" w:color="auto" w:fill="auto"/>
            <w:vAlign w:val="center"/>
          </w:tcPr>
          <w:p>
            <w:pPr>
              <w:ind w:hanging="1"/>
              <w:jc w:val="right"/>
            </w:pPr>
            <w:r>
              <w:rPr>
                <w:b w:val="0"/>
                <w:i w:val="0"/>
                <w:strike w:val="0"/>
                <w:u w:val="none"/>
              </w:rPr>
              <w:t>3,145,919.18</w:t>
            </w:r>
          </w:p>
        </w:tc>
        <w:tc>
          <w:tcPr>
            <w:tcW w:w="2431" w:type="dxa"/>
            <w:shd w:val="clear" w:color="auto" w:fill="auto"/>
            <w:vAlign w:val="center"/>
          </w:tcPr>
          <w:p>
            <w:pPr>
              <w:ind w:hanging="1"/>
              <w:jc w:val="right"/>
            </w:pPr>
            <w:r>
              <w:rPr>
                <w:b w:val="0"/>
                <w:i w:val="0"/>
                <w:strike w:val="0"/>
                <w:u w:val="none"/>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22长沙农商行二级资本债01</w:t>
            </w:r>
          </w:p>
        </w:tc>
        <w:tc>
          <w:tcPr>
            <w:tcW w:w="2693" w:type="dxa"/>
            <w:shd w:val="clear" w:color="auto" w:fill="auto"/>
            <w:vAlign w:val="center"/>
          </w:tcPr>
          <w:p>
            <w:pPr>
              <w:ind w:hanging="1"/>
              <w:jc w:val="right"/>
            </w:pPr>
            <w:r>
              <w:rPr>
                <w:b w:val="0"/>
                <w:i w:val="0"/>
                <w:strike w:val="0"/>
                <w:u w:val="none"/>
              </w:rPr>
              <w:t>3,133,294.52</w:t>
            </w:r>
          </w:p>
        </w:tc>
        <w:tc>
          <w:tcPr>
            <w:tcW w:w="2431" w:type="dxa"/>
            <w:shd w:val="clear" w:color="auto" w:fill="auto"/>
            <w:vAlign w:val="center"/>
          </w:tcPr>
          <w:p>
            <w:pPr>
              <w:ind w:hanging="1"/>
              <w:jc w:val="right"/>
            </w:pPr>
            <w:r>
              <w:rPr>
                <w:b w:val="0"/>
                <w:i w:val="0"/>
                <w:strike w:val="0"/>
                <w:u w:val="none"/>
              </w:rPr>
              <w:t>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24湘担Y1</w:t>
            </w:r>
          </w:p>
        </w:tc>
        <w:tc>
          <w:tcPr>
            <w:tcW w:w="2693" w:type="dxa"/>
            <w:shd w:val="clear" w:color="auto" w:fill="auto"/>
            <w:vAlign w:val="center"/>
          </w:tcPr>
          <w:p>
            <w:pPr>
              <w:ind w:hanging="1"/>
              <w:jc w:val="right"/>
            </w:pPr>
            <w:r>
              <w:rPr>
                <w:b w:val="0"/>
                <w:i w:val="0"/>
                <w:strike w:val="0"/>
                <w:u w:val="none"/>
              </w:rPr>
              <w:t>3,023,215.07</w:t>
            </w:r>
          </w:p>
        </w:tc>
        <w:tc>
          <w:tcPr>
            <w:tcW w:w="2431" w:type="dxa"/>
            <w:shd w:val="clear" w:color="auto" w:fill="auto"/>
            <w:vAlign w:val="center"/>
          </w:tcPr>
          <w:p>
            <w:pPr>
              <w:ind w:hanging="1"/>
              <w:jc w:val="right"/>
            </w:pPr>
            <w:r>
              <w:rPr>
                <w:b w:val="0"/>
                <w:i w:val="0"/>
                <w:strike w:val="0"/>
                <w:u w:val="none"/>
              </w:rPr>
              <w:t>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24衡高02</w:t>
            </w:r>
          </w:p>
        </w:tc>
        <w:tc>
          <w:tcPr>
            <w:tcW w:w="2693" w:type="dxa"/>
            <w:shd w:val="clear" w:color="auto" w:fill="auto"/>
            <w:vAlign w:val="center"/>
          </w:tcPr>
          <w:p>
            <w:pPr>
              <w:ind w:hanging="1"/>
              <w:jc w:val="right"/>
            </w:pPr>
            <w:r>
              <w:rPr>
                <w:b w:val="0"/>
                <w:i w:val="0"/>
                <w:strike w:val="0"/>
                <w:u w:val="none"/>
              </w:rPr>
              <w:t>2,880,846.36</w:t>
            </w:r>
          </w:p>
        </w:tc>
        <w:tc>
          <w:tcPr>
            <w:tcW w:w="2431" w:type="dxa"/>
            <w:shd w:val="clear" w:color="auto" w:fill="auto"/>
            <w:vAlign w:val="center"/>
          </w:tcPr>
          <w:p>
            <w:pPr>
              <w:ind w:hanging="1"/>
              <w:jc w:val="right"/>
            </w:pPr>
            <w:r>
              <w:rPr>
                <w:b w:val="0"/>
                <w:i w:val="0"/>
                <w:strike w:val="0"/>
                <w:u w:val="none"/>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2,131,151.92</w:t>
            </w:r>
          </w:p>
        </w:tc>
        <w:tc>
          <w:tcPr>
            <w:tcW w:w="2431" w:type="dxa"/>
            <w:shd w:val="clear" w:color="auto" w:fill="auto"/>
            <w:vAlign w:val="center"/>
          </w:tcPr>
          <w:p>
            <w:pPr>
              <w:ind w:hanging="1"/>
              <w:jc w:val="right"/>
            </w:pPr>
            <w:r>
              <w:rPr>
                <w:b w:val="0"/>
                <w:i w:val="0"/>
                <w:strike w:val="0"/>
                <w:u w:val="none"/>
              </w:rPr>
              <w:t>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博华固收3号资产管理计划</w:t>
            </w:r>
          </w:p>
        </w:tc>
        <w:tc>
          <w:tcPr>
            <w:tcW w:w="2693" w:type="dxa"/>
            <w:shd w:val="clear" w:color="auto" w:fill="auto"/>
            <w:vAlign w:val="center"/>
          </w:tcPr>
          <w:p>
            <w:pPr>
              <w:ind w:hanging="1"/>
              <w:jc w:val="right"/>
            </w:pPr>
            <w:r>
              <w:rPr>
                <w:b w:val="0"/>
                <w:i w:val="0"/>
                <w:strike w:val="0"/>
                <w:u w:val="none"/>
              </w:rPr>
              <w:t>1,224,366.48</w:t>
            </w:r>
          </w:p>
        </w:tc>
        <w:tc>
          <w:tcPr>
            <w:tcW w:w="2431" w:type="dxa"/>
            <w:shd w:val="clear" w:color="auto" w:fill="auto"/>
            <w:vAlign w:val="center"/>
          </w:tcPr>
          <w:p>
            <w:pPr>
              <w:ind w:hanging="1"/>
              <w:jc w:val="right"/>
            </w:pPr>
            <w:r>
              <w:rPr>
                <w:b w:val="0"/>
                <w:i w:val="0"/>
                <w:strike w:val="0"/>
                <w:u w:val="none"/>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945,557.26</w:t>
            </w:r>
          </w:p>
        </w:tc>
        <w:tc>
          <w:tcPr>
            <w:tcW w:w="2431" w:type="dxa"/>
            <w:shd w:val="clear" w:color="auto" w:fill="auto"/>
            <w:vAlign w:val="center"/>
          </w:tcPr>
          <w:p>
            <w:pPr>
              <w:ind w:hanging="1"/>
              <w:jc w:val="right"/>
            </w:pPr>
            <w:r>
              <w:rPr>
                <w:b w:val="0"/>
                <w:i w:val="0"/>
                <w:strike w:val="0"/>
                <w:u w:val="none"/>
              </w:rPr>
              <w:t>2.52</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54017-湖南银行皖江金租20250509</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10,160,437.35</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27.13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3,158,810.96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24豫航空港PPN003</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3,145,919.18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22长沙农商行二级资本债01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3,133,294.52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24湘担Y1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3,023,215.07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8.07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24衡高02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2,880,846.36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2,131,151.92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23望城城投债02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1,595,654.33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1,539,264.80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22恒丰银行永续债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1,138,559.80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3.04</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731903861410716</w:t>
            </w:r>
          </w:p>
        </w:tc>
        <w:tc>
          <w:tcPr>
            <w:tcW w:w="2693" w:type="dxa"/>
            <w:shd w:val="clear" w:color="auto" w:fill="auto"/>
            <w:vAlign w:val="center"/>
          </w:tcPr>
          <w:p>
            <w:pPr>
              <w:spacing w:before="100" w:beforeAutospacing="1" w:after="100" w:afterAutospacing="1"/>
            </w:pPr>
            <w:r>
              <w:t>湖南银行股份有限公司-融智理财添利系列-D540-17理财产品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54017-湖南银行皖江金租20250509</w:t>
            </w:r>
          </w:p>
        </w:tc>
        <w:tc>
          <w:tcPr>
            <w:tcW w:w="1336" w:type="dxa"/>
            <w:shd w:val="clear" w:color="auto" w:fill="auto"/>
            <w:vAlign w:val="center"/>
          </w:tcPr>
          <w:p>
            <w:pPr>
              <w:spacing w:before="100" w:beforeAutospacing="1" w:after="100" w:afterAutospacing="1"/>
            </w:pPr>
            <w:r>
              <w:t xml:space="preserve"> 皖江金融租赁股份有限公司</w:t>
            </w:r>
          </w:p>
        </w:tc>
        <w:tc>
          <w:tcPr>
            <w:tcW w:w="1295" w:type="dxa"/>
            <w:shd w:val="clear" w:color="auto" w:fill="auto"/>
            <w:vAlign w:val="center"/>
          </w:tcPr>
          <w:p>
            <w:pPr>
              <w:spacing w:before="100" w:beforeAutospacing="1" w:after="100" w:afterAutospacing="1"/>
            </w:pPr>
            <w:r>
              <w:t>149</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2.5</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11203C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2026-01-23T03:27:59Z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