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融智理财添利系列年开12号理财产品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融智理财添利系列年开12号理财产品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C1136022000020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49,067,800.00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13.22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231,153.07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216,154.82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49,789,629.18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49,789,629.18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1.1322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40,641,101.67</w:t>
            </w:r>
          </w:p>
        </w:tc>
        <w:tc>
          <w:tcPr>
            <w:tcW w:w="1749" w:type="dxa"/>
            <w:shd w:val="clear" w:color="auto" w:fill="auto"/>
            <w:vAlign w:val="center"/>
          </w:tcPr>
          <w:p>
            <w:pPr>
              <w:jc w:val="right"/>
            </w:pPr>
            <w:r>
              <w:t>81.25</w:t>
            </w:r>
          </w:p>
        </w:tc>
        <w:tc>
          <w:tcPr>
            <w:tcW w:w="1653" w:type="dxa"/>
            <w:vAlign w:val="center"/>
          </w:tcPr>
          <w:p>
            <w:pPr>
              <w:jc w:val="right"/>
            </w:pPr>
            <w:r>
              <w:t>6,854,715.46</w:t>
            </w:r>
          </w:p>
        </w:tc>
        <w:tc>
          <w:tcPr>
            <w:tcW w:w="1705" w:type="dxa"/>
            <w:vAlign w:val="center"/>
          </w:tcPr>
          <w:p>
            <w:pPr>
              <w:jc w:val="right"/>
            </w:pPr>
            <w: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40,641,101.67</w:t>
            </w:r>
          </w:p>
        </w:tc>
        <w:tc>
          <w:tcPr>
            <w:tcW w:w="1749" w:type="dxa"/>
            <w:shd w:val="clear" w:color="auto" w:fill="auto"/>
            <w:vAlign w:val="center"/>
          </w:tcPr>
          <w:p>
            <w:pPr>
              <w:jc w:val="right"/>
            </w:pPr>
            <w:r>
              <w:t>81.25</w:t>
            </w:r>
          </w:p>
        </w:tc>
        <w:tc>
          <w:tcPr>
            <w:tcW w:w="1653" w:type="dxa"/>
            <w:vAlign w:val="center"/>
          </w:tcPr>
          <w:p>
            <w:pPr>
              <w:jc w:val="right"/>
            </w:pPr>
            <w:r>
              <w:t>6,854,715.46</w:t>
            </w:r>
          </w:p>
        </w:tc>
        <w:tc>
          <w:tcPr>
            <w:tcW w:w="1705" w:type="dxa"/>
            <w:vAlign w:val="center"/>
          </w:tcPr>
          <w:p>
            <w:pPr>
              <w:jc w:val="right"/>
            </w:pPr>
            <w: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2,000,130.64</w:t>
            </w:r>
          </w:p>
        </w:tc>
        <w:tc>
          <w:tcPr>
            <w:tcW w:w="1749" w:type="dxa"/>
            <w:shd w:val="clear" w:color="auto" w:fill="auto"/>
            <w:vAlign w:val="center"/>
          </w:tcPr>
          <w:p>
            <w:pPr>
              <w:jc w:val="right"/>
            </w:pPr>
            <w:r>
              <w:t>4.00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462,787.53</w:t>
            </w:r>
          </w:p>
        </w:tc>
        <w:tc>
          <w:tcPr>
            <w:tcW w:w="1749" w:type="dxa"/>
            <w:shd w:val="clear" w:color="auto" w:fill="auto"/>
            <w:vAlign w:val="center"/>
          </w:tcPr>
          <w:p>
            <w:pPr>
              <w:jc w:val="right"/>
            </w:pPr>
            <w:r>
              <w:t>0.93</w:t>
            </w:r>
          </w:p>
        </w:tc>
        <w:tc>
          <w:tcPr>
            <w:tcW w:w="1653" w:type="dxa"/>
            <w:vAlign w:val="center"/>
          </w:tcPr>
          <w:p>
            <w:pPr>
              <w:jc w:val="right"/>
            </w:pPr>
            <w:r>
              <w:t>64,106.83</w:t>
            </w:r>
          </w:p>
        </w:tc>
        <w:tc>
          <w:tcPr>
            <w:tcW w:w="1705" w:type="dxa"/>
            <w:vAlign w:val="center"/>
          </w:tcPr>
          <w:p>
            <w:pPr>
              <w:jc w:val="right"/>
            </w:pPr>
            <w: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6,914,562.23</w:t>
            </w:r>
          </w:p>
        </w:tc>
        <w:tc>
          <w:tcPr>
            <w:tcW w:w="1749" w:type="dxa"/>
            <w:shd w:val="clear" w:color="auto" w:fill="auto"/>
            <w:vAlign w:val="center"/>
          </w:tcPr>
          <w:p>
            <w:pPr>
              <w:jc w:val="right"/>
            </w:pPr>
            <w:r>
              <w:t>13.82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2.72</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50,018,584.79</w:t>
            </w:r>
          </w:p>
        </w:tc>
        <w:tc>
          <w:tcPr>
            <w:tcW w:w="1749" w:type="dxa"/>
            <w:shd w:val="clear" w:color="auto" w:fill="auto"/>
          </w:tcPr>
          <w:p>
            <w:pPr>
              <w:jc w:val="right"/>
            </w:pPr>
            <w:r>
              <w:t>100.00</w:t>
            </w:r>
          </w:p>
        </w:tc>
        <w:tc>
          <w:tcPr>
            <w:tcW w:w="1653" w:type="dxa"/>
          </w:tcPr>
          <w:p>
            <w:pPr>
              <w:jc w:val="right"/>
            </w:pPr>
            <w:r>
              <w:t>6,918,822.29</w:t>
            </w:r>
          </w:p>
        </w:tc>
        <w:tc>
          <w:tcPr>
            <w:tcW w:w="1705" w:type="dxa"/>
          </w:tcPr>
          <w:p>
            <w:pPr>
              <w:jc w:val="right"/>
            </w:pPr>
            <w:r>
              <w:t>13.83</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6.42%；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6,914,562.23</w:t>
            </w:r>
          </w:p>
        </w:tc>
        <w:tc>
          <w:tcPr>
            <w:tcW w:w="2431" w:type="dxa"/>
            <w:shd w:val="clear" w:color="auto" w:fill="auto"/>
            <w:vAlign w:val="center"/>
          </w:tcPr>
          <w:p>
            <w:pPr>
              <w:jc w:val="right"/>
            </w:pPr>
            <w:r>
              <w:t>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PR金霞债</w:t>
            </w:r>
          </w:p>
        </w:tc>
        <w:tc>
          <w:tcPr>
            <w:tcW w:w="2693" w:type="dxa"/>
            <w:shd w:val="clear" w:color="auto" w:fill="auto"/>
            <w:vAlign w:val="center"/>
          </w:tcPr>
          <w:p>
            <w:pPr>
              <w:ind w:hanging="1"/>
              <w:jc w:val="right"/>
            </w:pPr>
            <w:r>
              <w:rPr>
                <w:b w:val="0"/>
                <w:i w:val="0"/>
                <w:strike w:val="0"/>
                <w:u w:val="none"/>
              </w:rPr>
              <w:t>4,270,246.58</w:t>
            </w:r>
          </w:p>
        </w:tc>
        <w:tc>
          <w:tcPr>
            <w:tcW w:w="2431" w:type="dxa"/>
            <w:shd w:val="clear" w:color="auto" w:fill="auto"/>
            <w:vAlign w:val="center"/>
          </w:tcPr>
          <w:p>
            <w:pPr>
              <w:ind w:hanging="1"/>
              <w:jc w:val="right"/>
            </w:pPr>
            <w:r>
              <w:rPr>
                <w:b w:val="0"/>
                <w:i w:val="0"/>
                <w:strike w:val="0"/>
                <w:u w:val="none"/>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4,181,830.14</w:t>
            </w:r>
          </w:p>
        </w:tc>
        <w:tc>
          <w:tcPr>
            <w:tcW w:w="2431" w:type="dxa"/>
            <w:shd w:val="clear" w:color="auto" w:fill="auto"/>
            <w:vAlign w:val="center"/>
          </w:tcPr>
          <w:p>
            <w:pPr>
              <w:ind w:hanging="1"/>
              <w:jc w:val="right"/>
            </w:pPr>
            <w:r>
              <w:rPr>
                <w:b w:val="0"/>
                <w:i w:val="0"/>
                <w:strike w:val="0"/>
                <w:u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4,164,153.42</w:t>
            </w:r>
          </w:p>
        </w:tc>
        <w:tc>
          <w:tcPr>
            <w:tcW w:w="2431" w:type="dxa"/>
            <w:shd w:val="clear" w:color="auto" w:fill="auto"/>
            <w:vAlign w:val="center"/>
          </w:tcPr>
          <w:p>
            <w:pPr>
              <w:ind w:hanging="1"/>
              <w:jc w:val="right"/>
            </w:pPr>
            <w:r>
              <w:rPr>
                <w:b w:val="0"/>
                <w:i w:val="0"/>
                <w:strike w:val="0"/>
                <w:u w:val="none"/>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PR轩达01</w:t>
            </w:r>
          </w:p>
        </w:tc>
        <w:tc>
          <w:tcPr>
            <w:tcW w:w="2693" w:type="dxa"/>
            <w:shd w:val="clear" w:color="auto" w:fill="auto"/>
            <w:vAlign w:val="center"/>
          </w:tcPr>
          <w:p>
            <w:pPr>
              <w:ind w:hanging="1"/>
              <w:jc w:val="right"/>
            </w:pPr>
            <w:r>
              <w:rPr>
                <w:b w:val="0"/>
                <w:i w:val="0"/>
                <w:strike w:val="0"/>
                <w:u w:val="none"/>
              </w:rPr>
              <w:t>4,122,161.10</w:t>
            </w:r>
          </w:p>
        </w:tc>
        <w:tc>
          <w:tcPr>
            <w:tcW w:w="2431" w:type="dxa"/>
            <w:shd w:val="clear" w:color="auto" w:fill="auto"/>
            <w:vAlign w:val="center"/>
          </w:tcPr>
          <w:p>
            <w:pPr>
              <w:ind w:hanging="1"/>
              <w:jc w:val="right"/>
            </w:pPr>
            <w:r>
              <w:rPr>
                <w:b w:val="0"/>
                <w:i w:val="0"/>
                <w:strike w:val="0"/>
                <w:u w:val="none"/>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4,057,742.03</w:t>
            </w:r>
          </w:p>
        </w:tc>
        <w:tc>
          <w:tcPr>
            <w:tcW w:w="2431" w:type="dxa"/>
            <w:shd w:val="clear" w:color="auto" w:fill="auto"/>
            <w:vAlign w:val="center"/>
          </w:tcPr>
          <w:p>
            <w:pPr>
              <w:ind w:hanging="1"/>
              <w:jc w:val="right"/>
            </w:pPr>
            <w:r>
              <w:rPr>
                <w:b w:val="0"/>
                <w:i w:val="0"/>
                <w:strike w:val="0"/>
                <w:u w:val="none"/>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20德源绿色债02</w:t>
            </w:r>
          </w:p>
        </w:tc>
        <w:tc>
          <w:tcPr>
            <w:tcW w:w="2693" w:type="dxa"/>
            <w:shd w:val="clear" w:color="auto" w:fill="auto"/>
            <w:vAlign w:val="center"/>
          </w:tcPr>
          <w:p>
            <w:pPr>
              <w:ind w:hanging="1"/>
              <w:jc w:val="right"/>
            </w:pPr>
            <w:r>
              <w:rPr>
                <w:b w:val="0"/>
                <w:i w:val="0"/>
                <w:strike w:val="0"/>
                <w:u w:val="none"/>
              </w:rPr>
              <w:t>3,808,738.36</w:t>
            </w:r>
          </w:p>
        </w:tc>
        <w:tc>
          <w:tcPr>
            <w:tcW w:w="2431" w:type="dxa"/>
            <w:shd w:val="clear" w:color="auto" w:fill="auto"/>
            <w:vAlign w:val="center"/>
          </w:tcPr>
          <w:p>
            <w:pPr>
              <w:ind w:hanging="1"/>
              <w:jc w:val="right"/>
            </w:pPr>
            <w:r>
              <w:rPr>
                <w:b w:val="0"/>
                <w:i w:val="0"/>
                <w:strike w:val="0"/>
                <w:u w:val="none"/>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3,638,525.21</w:t>
            </w:r>
          </w:p>
        </w:tc>
        <w:tc>
          <w:tcPr>
            <w:tcW w:w="2431" w:type="dxa"/>
            <w:shd w:val="clear" w:color="auto" w:fill="auto"/>
            <w:vAlign w:val="center"/>
          </w:tcPr>
          <w:p>
            <w:pPr>
              <w:ind w:hanging="1"/>
              <w:jc w:val="right"/>
            </w:pPr>
            <w:r>
              <w:rPr>
                <w:b w:val="0"/>
                <w:i w:val="0"/>
                <w:strike w:val="0"/>
                <w:u w:val="none"/>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20宁经开</w:t>
            </w:r>
          </w:p>
        </w:tc>
        <w:tc>
          <w:tcPr>
            <w:tcW w:w="2693" w:type="dxa"/>
            <w:shd w:val="clear" w:color="auto" w:fill="auto"/>
            <w:vAlign w:val="center"/>
          </w:tcPr>
          <w:p>
            <w:pPr>
              <w:ind w:hanging="1"/>
              <w:jc w:val="right"/>
            </w:pPr>
            <w:r>
              <w:rPr>
                <w:b w:val="0"/>
                <w:i w:val="0"/>
                <w:strike w:val="0"/>
                <w:u w:val="none"/>
              </w:rPr>
              <w:t>3,361,406.90</w:t>
            </w:r>
          </w:p>
        </w:tc>
        <w:tc>
          <w:tcPr>
            <w:tcW w:w="2431" w:type="dxa"/>
            <w:shd w:val="clear" w:color="auto" w:fill="auto"/>
            <w:vAlign w:val="center"/>
          </w:tcPr>
          <w:p>
            <w:pPr>
              <w:ind w:hanging="1"/>
              <w:jc w:val="right"/>
            </w:pPr>
            <w:r>
              <w:rPr>
                <w:b w:val="0"/>
                <w:i w:val="0"/>
                <w:strike w:val="0"/>
                <w:u w:val="none"/>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2,029,668.49</w:t>
            </w:r>
          </w:p>
        </w:tc>
        <w:tc>
          <w:tcPr>
            <w:tcW w:w="2431" w:type="dxa"/>
            <w:shd w:val="clear" w:color="auto" w:fill="auto"/>
            <w:vAlign w:val="center"/>
          </w:tcPr>
          <w:p>
            <w:pPr>
              <w:ind w:hanging="1"/>
              <w:jc w:val="right"/>
            </w:pPr>
            <w:r>
              <w:rPr>
                <w:b w:val="0"/>
                <w:i w:val="0"/>
                <w:strike w:val="0"/>
                <w:u w:val="none"/>
              </w:rPr>
              <w:t>4.08</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PR金霞债</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4,270,246.58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4,181,830.14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4,164,153.42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PR轩达01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4,122,161.10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8.28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4,057,742.03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20德源绿色债02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3,808,738.36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3,638,525.21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20宁经开</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3,361,406.90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2,029,668.49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R005</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2,000,130.64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4.02</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731903861410642</w:t>
            </w:r>
          </w:p>
        </w:tc>
        <w:tc>
          <w:tcPr>
            <w:tcW w:w="2693" w:type="dxa"/>
            <w:shd w:val="clear" w:color="auto" w:fill="auto"/>
            <w:vAlign w:val="center"/>
          </w:tcPr>
          <w:p>
            <w:pPr>
              <w:spacing w:before="100" w:beforeAutospacing="1" w:after="100" w:afterAutospacing="1"/>
            </w:pPr>
            <w:r>
              <w:t>湖南银行股份有限公司-融智理财添利系列年开12号理财产品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8A5FCB"/>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2026-01-23T03:28:55Z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