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融智理财添利系列年开1号理财产品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融智理财添利系列年开1号理财产品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79,267,300.00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100.40%</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7"/>
            <w:bookmarkEnd w:id="1"/>
            <w:bookmarkStart w:id="2" w:name="OLE_LINK4"/>
            <w:bookmarkEnd w:id="2"/>
            <w:r>
              <w:t>18.12</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1,255,489.21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386,283.25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80,366,544.08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80,366,544.08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1.1812</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39,225,265.40</w:t>
            </w:r>
          </w:p>
        </w:tc>
        <w:tc>
          <w:tcPr>
            <w:tcW w:w="1749" w:type="dxa"/>
            <w:shd w:val="clear" w:color="auto" w:fill="auto"/>
            <w:vAlign w:val="center"/>
          </w:tcPr>
          <w:p>
            <w:pPr>
              <w:jc w:val="right"/>
            </w:pPr>
            <w:r>
              <w:t>48.61</w:t>
            </w:r>
          </w:p>
        </w:tc>
        <w:tc>
          <w:tcPr>
            <w:tcW w:w="1653" w:type="dxa"/>
            <w:vAlign w:val="center"/>
          </w:tcPr>
          <w:p>
            <w:pPr>
              <w:jc w:val="right"/>
            </w:pPr>
            <w:r>
              <w:t>14,878,034.21</w:t>
            </w:r>
          </w:p>
        </w:tc>
        <w:tc>
          <w:tcPr>
            <w:tcW w:w="1705" w:type="dxa"/>
            <w:vAlign w:val="center"/>
          </w:tcPr>
          <w:p>
            <w:pPr>
              <w:jc w:val="right"/>
            </w:pPr>
            <w:r>
              <w:t>18.44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39,225,265.40</w:t>
            </w:r>
          </w:p>
        </w:tc>
        <w:tc>
          <w:tcPr>
            <w:tcW w:w="1749" w:type="dxa"/>
            <w:shd w:val="clear" w:color="auto" w:fill="auto"/>
            <w:vAlign w:val="center"/>
          </w:tcPr>
          <w:p>
            <w:pPr>
              <w:jc w:val="right"/>
            </w:pPr>
            <w:r>
              <w:t>48.61</w:t>
            </w:r>
          </w:p>
        </w:tc>
        <w:tc>
          <w:tcPr>
            <w:tcW w:w="1653" w:type="dxa"/>
            <w:vAlign w:val="center"/>
          </w:tcPr>
          <w:p>
            <w:pPr>
              <w:jc w:val="right"/>
            </w:pPr>
            <w:r>
              <w:t>14,878,034.21</w:t>
            </w:r>
          </w:p>
        </w:tc>
        <w:tc>
          <w:tcPr>
            <w:tcW w:w="1705" w:type="dxa"/>
            <w:vAlign w:val="center"/>
          </w:tcPr>
          <w:p>
            <w:pPr>
              <w:jc w:val="right"/>
            </w:pPr>
            <w:r>
              <w:t>18.44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5,837,318.51</w:t>
            </w:r>
          </w:p>
        </w:tc>
        <w:tc>
          <w:tcPr>
            <w:tcW w:w="1749" w:type="dxa"/>
            <w:shd w:val="clear" w:color="auto" w:fill="auto"/>
            <w:vAlign w:val="center"/>
          </w:tcPr>
          <w:p>
            <w:pPr>
              <w:jc w:val="right"/>
            </w:pPr>
            <w:r>
              <w:t>7.23</w:t>
            </w:r>
          </w:p>
        </w:tc>
        <w:tc>
          <w:tcPr>
            <w:tcW w:w="1653" w:type="dxa"/>
            <w:vAlign w:val="center"/>
          </w:tcPr>
          <w:p>
            <w:pPr>
              <w:jc w:val="right"/>
            </w:pPr>
            <w:r>
              <w:t>178,745.31</w:t>
            </w:r>
          </w:p>
        </w:tc>
        <w:tc>
          <w:tcPr>
            <w:tcW w:w="1705" w:type="dxa"/>
            <w:vAlign w:val="center"/>
          </w:tcPr>
          <w:p>
            <w:pPr>
              <w:jc w:val="right"/>
            </w:pPr>
            <w: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15,215,086.82</w:t>
            </w:r>
          </w:p>
        </w:tc>
        <w:tc>
          <w:tcPr>
            <w:tcW w:w="1749" w:type="dxa"/>
            <w:shd w:val="clear" w:color="auto" w:fill="auto"/>
            <w:vAlign w:val="center"/>
          </w:tcPr>
          <w:p>
            <w:pPr>
              <w:jc w:val="right"/>
            </w:pPr>
            <w:r>
              <w:t>18.86</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20,410,739.88</w:t>
            </w:r>
          </w:p>
        </w:tc>
        <w:tc>
          <w:tcPr>
            <w:tcW w:w="1749" w:type="dxa"/>
            <w:shd w:val="clear" w:color="auto" w:fill="auto"/>
            <w:vAlign w:val="center"/>
          </w:tcPr>
          <w:p>
            <w:pPr>
              <w:jc w:val="right"/>
            </w:pPr>
            <w:r>
              <w:t>25.30</w:t>
            </w:r>
          </w:p>
        </w:tc>
        <w:tc>
          <w:tcPr>
            <w:tcW w:w="1653" w:type="dxa"/>
            <w:vAlign w:val="center"/>
          </w:tcPr>
          <w:p>
            <w:pPr>
              <w:jc w:val="right"/>
            </w:pPr>
            <w:r>
              <w:t>166,704.98</w:t>
            </w:r>
          </w:p>
        </w:tc>
        <w:tc>
          <w:tcPr>
            <w:tcW w:w="1705" w:type="dxa"/>
            <w:vAlign w:val="center"/>
          </w:tcPr>
          <w:p>
            <w:pPr>
              <w:jc w:val="right"/>
            </w:pPr>
            <w:r>
              <w:t>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80,688,410.61</w:t>
            </w:r>
          </w:p>
        </w:tc>
        <w:tc>
          <w:tcPr>
            <w:tcW w:w="1749" w:type="dxa"/>
            <w:shd w:val="clear" w:color="auto" w:fill="auto"/>
          </w:tcPr>
          <w:p>
            <w:pPr>
              <w:jc w:val="right"/>
            </w:pPr>
            <w:r>
              <w:t>100.00</w:t>
            </w:r>
          </w:p>
        </w:tc>
        <w:tc>
          <w:tcPr>
            <w:tcW w:w="1653" w:type="dxa"/>
          </w:tcPr>
          <w:p>
            <w:pPr>
              <w:jc w:val="right"/>
            </w:pPr>
            <w:r>
              <w:t>15,223,484.51</w:t>
            </w:r>
          </w:p>
        </w:tc>
        <w:tc>
          <w:tcPr>
            <w:tcW w:w="1705" w:type="dxa"/>
          </w:tcPr>
          <w:p>
            <w:pPr>
              <w:jc w:val="right"/>
            </w:pPr>
            <w:r>
              <w:t>18.87</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12.82%；直接或间接持有的非标准化债权资产占比25.40%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NK1-湖南银行贵阳贵银金租20250409</w:t>
            </w:r>
          </w:p>
        </w:tc>
        <w:tc>
          <w:tcPr>
            <w:tcW w:w="2693" w:type="dxa"/>
            <w:shd w:val="clear" w:color="auto" w:fill="auto"/>
            <w:vAlign w:val="center"/>
          </w:tcPr>
          <w:p>
            <w:pPr>
              <w:jc w:val="right"/>
            </w:pPr>
            <w:r>
              <w:t>20,410,739.88</w:t>
            </w:r>
          </w:p>
        </w:tc>
        <w:tc>
          <w:tcPr>
            <w:tcW w:w="2431" w:type="dxa"/>
            <w:shd w:val="clear" w:color="auto" w:fill="auto"/>
            <w:vAlign w:val="center"/>
          </w:tcPr>
          <w:p>
            <w:pPr>
              <w:jc w:val="right"/>
            </w:pPr>
            <w:r>
              <w:t>25.40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华夏纯债3号</w:t>
            </w:r>
          </w:p>
        </w:tc>
        <w:tc>
          <w:tcPr>
            <w:tcW w:w="2693" w:type="dxa"/>
            <w:shd w:val="clear" w:color="auto" w:fill="auto"/>
            <w:vAlign w:val="center"/>
          </w:tcPr>
          <w:p>
            <w:pPr>
              <w:ind w:hanging="1"/>
              <w:jc w:val="right"/>
            </w:pPr>
            <w:r>
              <w:rPr>
                <w:b w:val="0"/>
                <w:i w:val="0"/>
                <w:strike w:val="0"/>
                <w:u w:val="none"/>
              </w:rPr>
              <w:t>7,907,911.80</w:t>
            </w:r>
          </w:p>
        </w:tc>
        <w:tc>
          <w:tcPr>
            <w:tcW w:w="2431" w:type="dxa"/>
            <w:shd w:val="clear" w:color="auto" w:fill="auto"/>
            <w:vAlign w:val="center"/>
          </w:tcPr>
          <w:p>
            <w:pPr>
              <w:ind w:hanging="1"/>
              <w:jc w:val="right"/>
            </w:pPr>
            <w:r>
              <w:rPr>
                <w:b w:val="0"/>
                <w:i w:val="0"/>
                <w:strike w:val="0"/>
                <w:u w:val="none"/>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7,311,220.14</w:t>
            </w:r>
          </w:p>
        </w:tc>
        <w:tc>
          <w:tcPr>
            <w:tcW w:w="2431" w:type="dxa"/>
            <w:shd w:val="clear" w:color="auto" w:fill="auto"/>
            <w:vAlign w:val="center"/>
          </w:tcPr>
          <w:p>
            <w:pPr>
              <w:ind w:hanging="1"/>
              <w:jc w:val="right"/>
            </w:pPr>
            <w:r>
              <w:rPr>
                <w:b w:val="0"/>
                <w:i w:val="0"/>
                <w:strike w:val="0"/>
                <w:u w:val="none"/>
              </w:rPr>
              <w:t>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中信证券湘稳1号集合资产管理计划</w:t>
            </w:r>
          </w:p>
        </w:tc>
        <w:tc>
          <w:tcPr>
            <w:tcW w:w="2693" w:type="dxa"/>
            <w:shd w:val="clear" w:color="auto" w:fill="auto"/>
            <w:vAlign w:val="center"/>
          </w:tcPr>
          <w:p>
            <w:pPr>
              <w:ind w:hanging="1"/>
              <w:jc w:val="right"/>
            </w:pPr>
            <w:r>
              <w:rPr>
                <w:b w:val="0"/>
                <w:i w:val="0"/>
                <w:strike w:val="0"/>
                <w:u w:val="none"/>
              </w:rPr>
              <w:t>7,307,175.02</w:t>
            </w:r>
          </w:p>
        </w:tc>
        <w:tc>
          <w:tcPr>
            <w:tcW w:w="2431" w:type="dxa"/>
            <w:shd w:val="clear" w:color="auto" w:fill="auto"/>
            <w:vAlign w:val="center"/>
          </w:tcPr>
          <w:p>
            <w:pPr>
              <w:ind w:hanging="1"/>
              <w:jc w:val="right"/>
            </w:pPr>
            <w:r>
              <w:rPr>
                <w:b w:val="0"/>
                <w:i w:val="0"/>
                <w:strike w:val="0"/>
                <w:u w:val="none"/>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7,304,567.12</w:t>
            </w:r>
          </w:p>
        </w:tc>
        <w:tc>
          <w:tcPr>
            <w:tcW w:w="2431" w:type="dxa"/>
            <w:shd w:val="clear" w:color="auto" w:fill="auto"/>
            <w:vAlign w:val="center"/>
          </w:tcPr>
          <w:p>
            <w:pPr>
              <w:ind w:hanging="1"/>
              <w:jc w:val="right"/>
            </w:pPr>
            <w:r>
              <w:rPr>
                <w:b w:val="0"/>
                <w:i w:val="0"/>
                <w:strike w:val="0"/>
                <w:u w:val="none"/>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7,153,970.74</w:t>
            </w:r>
          </w:p>
        </w:tc>
        <w:tc>
          <w:tcPr>
            <w:tcW w:w="2431" w:type="dxa"/>
            <w:shd w:val="clear" w:color="auto" w:fill="auto"/>
            <w:vAlign w:val="center"/>
          </w:tcPr>
          <w:p>
            <w:pPr>
              <w:ind w:hanging="1"/>
              <w:jc w:val="right"/>
            </w:pPr>
            <w:r>
              <w:rPr>
                <w:b w:val="0"/>
                <w:i w:val="0"/>
                <w:strike w:val="0"/>
                <w:u w:val="none"/>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24吉华01</w:t>
            </w:r>
          </w:p>
        </w:tc>
        <w:tc>
          <w:tcPr>
            <w:tcW w:w="2693" w:type="dxa"/>
            <w:shd w:val="clear" w:color="auto" w:fill="auto"/>
            <w:vAlign w:val="center"/>
          </w:tcPr>
          <w:p>
            <w:pPr>
              <w:ind w:hanging="1"/>
              <w:jc w:val="right"/>
            </w:pPr>
            <w:r>
              <w:rPr>
                <w:b w:val="0"/>
                <w:i w:val="0"/>
                <w:strike w:val="0"/>
                <w:u w:val="none"/>
              </w:rPr>
              <w:t>5,301,851.01</w:t>
            </w:r>
          </w:p>
        </w:tc>
        <w:tc>
          <w:tcPr>
            <w:tcW w:w="2431" w:type="dxa"/>
            <w:shd w:val="clear" w:color="auto" w:fill="auto"/>
            <w:vAlign w:val="center"/>
          </w:tcPr>
          <w:p>
            <w:pPr>
              <w:ind w:hanging="1"/>
              <w:jc w:val="right"/>
            </w:pPr>
            <w:r>
              <w:rPr>
                <w:b w:val="0"/>
                <w:i w:val="0"/>
                <w:strike w:val="0"/>
                <w:u w:val="none"/>
              </w:rPr>
              <w:t>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4,465,270.68</w:t>
            </w:r>
          </w:p>
        </w:tc>
        <w:tc>
          <w:tcPr>
            <w:tcW w:w="2431" w:type="dxa"/>
            <w:shd w:val="clear" w:color="auto" w:fill="auto"/>
            <w:vAlign w:val="center"/>
          </w:tcPr>
          <w:p>
            <w:pPr>
              <w:ind w:hanging="1"/>
              <w:jc w:val="right"/>
            </w:pPr>
            <w:r>
              <w:rPr>
                <w:b w:val="0"/>
                <w:i w:val="0"/>
                <w:strike w:val="0"/>
                <w:u w:val="none"/>
              </w:rPr>
              <w:t>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24津城建MTN012</w:t>
            </w:r>
          </w:p>
        </w:tc>
        <w:tc>
          <w:tcPr>
            <w:tcW w:w="2693" w:type="dxa"/>
            <w:shd w:val="clear" w:color="auto" w:fill="auto"/>
            <w:vAlign w:val="center"/>
          </w:tcPr>
          <w:p>
            <w:pPr>
              <w:ind w:hanging="1"/>
              <w:jc w:val="right"/>
            </w:pPr>
            <w:r>
              <w:rPr>
                <w:b w:val="0"/>
                <w:i w:val="0"/>
                <w:strike w:val="0"/>
                <w:u w:val="none"/>
              </w:rPr>
              <w:t>3,149,400.00</w:t>
            </w:r>
          </w:p>
        </w:tc>
        <w:tc>
          <w:tcPr>
            <w:tcW w:w="2431" w:type="dxa"/>
            <w:shd w:val="clear" w:color="auto" w:fill="auto"/>
            <w:vAlign w:val="center"/>
          </w:tcPr>
          <w:p>
            <w:pPr>
              <w:ind w:hanging="1"/>
              <w:jc w:val="right"/>
            </w:pPr>
            <w:r>
              <w:rPr>
                <w:b w:val="0"/>
                <w:i w:val="0"/>
                <w:strike w:val="0"/>
                <w:u w:val="none"/>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24株金01</w:t>
            </w:r>
          </w:p>
        </w:tc>
        <w:tc>
          <w:tcPr>
            <w:tcW w:w="2693" w:type="dxa"/>
            <w:shd w:val="clear" w:color="auto" w:fill="auto"/>
            <w:vAlign w:val="center"/>
          </w:tcPr>
          <w:p>
            <w:pPr>
              <w:ind w:hanging="1"/>
              <w:jc w:val="right"/>
            </w:pPr>
            <w:r>
              <w:rPr>
                <w:b w:val="0"/>
                <w:i w:val="0"/>
                <w:strike w:val="0"/>
                <w:u w:val="none"/>
              </w:rPr>
              <w:t>2,320,655.84</w:t>
            </w:r>
          </w:p>
        </w:tc>
        <w:tc>
          <w:tcPr>
            <w:tcW w:w="2431" w:type="dxa"/>
            <w:shd w:val="clear" w:color="auto" w:fill="auto"/>
            <w:vAlign w:val="center"/>
          </w:tcPr>
          <w:p>
            <w:pPr>
              <w:ind w:hanging="1"/>
              <w:jc w:val="right"/>
            </w:pPr>
            <w:r>
              <w:rPr>
                <w:b w:val="0"/>
                <w:i w:val="0"/>
                <w:strike w:val="0"/>
                <w:u w:val="none"/>
              </w:rPr>
              <w:t>2.89</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NK1-湖南银行贵阳贵银金租20250409</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20,410,739.88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25.40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7,311,220.14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7,304,567.12</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9.09</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7,153,970.74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24吉华01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5,301,851.01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6.60</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4,465,270.68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24津城建MTN012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3,174,282.85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3.95</w:t>
            </w:r>
          </w:p>
        </w:tc>
      </w:tr>
      <w:tr>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2,320,655.84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2.89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23望城城投债02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1,766,393.39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2.20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21邵阳城投PPN001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1,703,970.04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2.12</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731903861410831</w:t>
            </w:r>
          </w:p>
        </w:tc>
        <w:tc>
          <w:tcPr>
            <w:tcW w:w="2693" w:type="dxa"/>
            <w:shd w:val="clear" w:color="auto" w:fill="auto"/>
            <w:vAlign w:val="center"/>
          </w:tcPr>
          <w:p>
            <w:pPr>
              <w:spacing w:before="100" w:beforeAutospacing="1" w:after="100" w:afterAutospacing="1"/>
            </w:pPr>
            <w:r>
              <w:t>湖南银行股份有限公司-融智理财添利系列年开1号理财产品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NK1-湖南银行贵阳贵银金租20250409</w:t>
            </w:r>
          </w:p>
        </w:tc>
        <w:tc>
          <w:tcPr>
            <w:tcW w:w="1336" w:type="dxa"/>
            <w:shd w:val="clear" w:color="auto" w:fill="auto"/>
            <w:vAlign w:val="center"/>
          </w:tcPr>
          <w:p>
            <w:pPr>
              <w:spacing w:before="100" w:beforeAutospacing="1" w:after="100" w:afterAutospacing="1"/>
            </w:pPr>
            <w:r>
              <w:t>贵阳贵银金融租赁有限责任公司</w:t>
            </w:r>
          </w:p>
        </w:tc>
        <w:tc>
          <w:tcPr>
            <w:tcW w:w="1295" w:type="dxa"/>
            <w:shd w:val="clear" w:color="auto" w:fill="auto"/>
            <w:vAlign w:val="center"/>
          </w:tcPr>
          <w:p>
            <w:pPr>
              <w:spacing w:before="100" w:beforeAutospacing="1" w:after="100" w:afterAutospacing="1"/>
            </w:pPr>
            <w:r>
              <w:t>90</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2.8</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928575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2026-01-23T03:19:25Z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