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添利系列固定期限273天人民币理财产品</w:t>
      </w:r>
      <w:bookmarkEnd w:id="0"/>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添利系列固定期限273天人民币理财产品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C1136023000014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2023-02-14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818,115,616.09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[1.7%-3.1%]/年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100.44%</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7"/>
            <w:bookmarkEnd w:id="1"/>
            <w:bookmarkStart w:id="2" w:name="OLE_LINK4"/>
            <w:bookmarkEnd w:id="2"/>
            <w:r>
              <w:t>12.43</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8,354,148.62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8,445,779.96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919,850,538.32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919,850,538.32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1.1243</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66,539,991.04</w:t>
            </w:r>
          </w:p>
        </w:tc>
        <w:tc>
          <w:tcPr>
            <w:tcW w:w="1749" w:type="dxa"/>
            <w:shd w:val="clear" w:color="auto" w:fill="auto"/>
            <w:vAlign w:val="center"/>
          </w:tcPr>
          <w:p>
            <w:pPr>
              <w:jc w:val="right"/>
            </w:pPr>
            <w:r>
              <w:t>7.20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790,348,838.85</w:t>
            </w:r>
          </w:p>
        </w:tc>
        <w:tc>
          <w:tcPr>
            <w:tcW w:w="1749" w:type="dxa"/>
            <w:shd w:val="clear" w:color="auto" w:fill="auto"/>
            <w:vAlign w:val="center"/>
          </w:tcPr>
          <w:p>
            <w:pPr>
              <w:jc w:val="right"/>
            </w:pPr>
            <w:r>
              <w:t>85.54</w:t>
            </w:r>
          </w:p>
        </w:tc>
        <w:tc>
          <w:tcPr>
            <w:tcW w:w="1653" w:type="dxa"/>
            <w:vAlign w:val="center"/>
          </w:tcPr>
          <w:p>
            <w:pPr>
              <w:jc w:val="right"/>
            </w:pPr>
            <w:r>
              <w:t>49,633,838.07</w:t>
            </w:r>
          </w:p>
        </w:tc>
        <w:tc>
          <w:tcPr>
            <w:tcW w:w="1705" w:type="dxa"/>
            <w:vAlign w:val="center"/>
          </w:tcPr>
          <w:p>
            <w:pPr>
              <w:jc w:val="right"/>
            </w:pPr>
            <w:r>
              <w:t>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739,353,407.60</w:t>
            </w:r>
          </w:p>
        </w:tc>
        <w:tc>
          <w:tcPr>
            <w:tcW w:w="1749" w:type="dxa"/>
            <w:shd w:val="clear" w:color="auto" w:fill="auto"/>
            <w:vAlign w:val="center"/>
          </w:tcPr>
          <w:p>
            <w:pPr>
              <w:jc w:val="right"/>
            </w:pPr>
            <w:r>
              <w:t>80.02</w:t>
            </w:r>
          </w:p>
        </w:tc>
        <w:tc>
          <w:tcPr>
            <w:tcW w:w="1653" w:type="dxa"/>
            <w:vAlign w:val="center"/>
          </w:tcPr>
          <w:p>
            <w:pPr>
              <w:jc w:val="right"/>
            </w:pPr>
            <w:r>
              <w:t>49,633,838.07</w:t>
            </w:r>
          </w:p>
        </w:tc>
        <w:tc>
          <w:tcPr>
            <w:tcW w:w="1705" w:type="dxa"/>
            <w:vAlign w:val="center"/>
          </w:tcPr>
          <w:p>
            <w:pPr>
              <w:jc w:val="right"/>
            </w:pPr>
            <w:r>
              <w:t>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50,995,431.25</w:t>
            </w:r>
          </w:p>
        </w:tc>
        <w:tc>
          <w:tcPr>
            <w:tcW w:w="1749" w:type="dxa"/>
            <w:shd w:val="clear" w:color="auto" w:fill="auto"/>
            <w:vAlign w:val="center"/>
          </w:tcPr>
          <w:p>
            <w:pPr>
              <w:jc w:val="right"/>
            </w:pPr>
            <w:r>
              <w:t>5.52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17,001,110.39</w:t>
            </w:r>
          </w:p>
        </w:tc>
        <w:tc>
          <w:tcPr>
            <w:tcW w:w="1749" w:type="dxa"/>
            <w:shd w:val="clear" w:color="auto" w:fill="auto"/>
            <w:vAlign w:val="center"/>
          </w:tcPr>
          <w:p>
            <w:pPr>
              <w:jc w:val="right"/>
            </w:pPr>
            <w:r>
              <w:t>1.84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577,768.72</w:t>
            </w:r>
          </w:p>
        </w:tc>
        <w:tc>
          <w:tcPr>
            <w:tcW w:w="1749" w:type="dxa"/>
            <w:shd w:val="clear" w:color="auto" w:fill="auto"/>
            <w:vAlign w:val="center"/>
          </w:tcPr>
          <w:p>
            <w:pPr>
              <w:jc w:val="right"/>
            </w:pPr>
            <w:r>
              <w:t>0.06</w:t>
            </w:r>
          </w:p>
        </w:tc>
        <w:tc>
          <w:tcPr>
            <w:tcW w:w="1653" w:type="dxa"/>
            <w:vAlign w:val="center"/>
          </w:tcPr>
          <w:p>
            <w:pPr>
              <w:jc w:val="right"/>
            </w:pPr>
            <w:r>
              <w:t>571,796.68</w:t>
            </w:r>
          </w:p>
        </w:tc>
        <w:tc>
          <w:tcPr>
            <w:tcW w:w="1705" w:type="dxa"/>
            <w:vAlign w:val="center"/>
          </w:tcPr>
          <w:p>
            <w:pPr>
              <w:jc w:val="right"/>
            </w:pPr>
            <w: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49,450,460.63</w:t>
            </w:r>
          </w:p>
        </w:tc>
        <w:tc>
          <w:tcPr>
            <w:tcW w:w="1749" w:type="dxa"/>
            <w:shd w:val="clear" w:color="auto" w:fill="auto"/>
            <w:vAlign w:val="center"/>
          </w:tcPr>
          <w:p>
            <w:pPr>
              <w:jc w:val="right"/>
            </w:pPr>
            <w:r>
              <w:t>5.35</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210.13</w:t>
            </w:r>
          </w:p>
        </w:tc>
        <w:tc>
          <w:tcPr>
            <w:tcW w:w="1749" w:type="dxa"/>
            <w:shd w:val="clear" w:color="auto" w:fill="auto"/>
            <w:vAlign w:val="center"/>
          </w:tcPr>
          <w:p>
            <w:pPr>
              <w:jc w:val="right"/>
            </w:pPr>
            <w:r>
              <w:t>0.00</w:t>
            </w:r>
          </w:p>
        </w:tc>
        <w:tc>
          <w:tcPr>
            <w:tcW w:w="1653" w:type="dxa"/>
            <w:vAlign w:val="center"/>
          </w:tcPr>
          <w:p>
            <w:pPr>
              <w:jc w:val="right"/>
            </w:pPr>
            <w:r>
              <w:t>334,772.09</w:t>
            </w:r>
          </w:p>
        </w:tc>
        <w:tc>
          <w:tcPr>
            <w:tcW w:w="1705" w:type="dxa"/>
            <w:vAlign w:val="center"/>
          </w:tcPr>
          <w:p>
            <w:pPr>
              <w:jc w:val="right"/>
            </w:pPr>
            <w: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923,918,379.76</w:t>
            </w:r>
          </w:p>
        </w:tc>
        <w:tc>
          <w:tcPr>
            <w:tcW w:w="1749" w:type="dxa"/>
            <w:shd w:val="clear" w:color="auto" w:fill="auto"/>
          </w:tcPr>
          <w:p>
            <w:pPr>
              <w:jc w:val="right"/>
            </w:pPr>
            <w:r>
              <w:t>100.00</w:t>
            </w:r>
          </w:p>
        </w:tc>
        <w:tc>
          <w:tcPr>
            <w:tcW w:w="1653" w:type="dxa"/>
          </w:tcPr>
          <w:p>
            <w:pPr>
              <w:jc w:val="right"/>
            </w:pPr>
            <w:r>
              <w:t>50,540,406.84</w:t>
            </w:r>
          </w:p>
        </w:tc>
        <w:tc>
          <w:tcPr>
            <w:tcW w:w="1705" w:type="dxa"/>
          </w:tcPr>
          <w:p>
            <w:pPr>
              <w:jc w:val="right"/>
            </w:pPr>
            <w:r>
              <w:t>5.47</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16.84%；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23国开07</w:t>
            </w:r>
          </w:p>
        </w:tc>
        <w:tc>
          <w:tcPr>
            <w:tcW w:w="2693" w:type="dxa"/>
            <w:shd w:val="clear" w:color="auto" w:fill="auto"/>
            <w:vAlign w:val="center"/>
          </w:tcPr>
          <w:p>
            <w:pPr>
              <w:jc w:val="right"/>
            </w:pPr>
            <w:r>
              <w:t>146,846,515.48</w:t>
            </w:r>
          </w:p>
        </w:tc>
        <w:tc>
          <w:tcPr>
            <w:tcW w:w="2431" w:type="dxa"/>
            <w:shd w:val="clear" w:color="auto" w:fill="auto"/>
            <w:vAlign w:val="center"/>
          </w:tcPr>
          <w:p>
            <w:pPr>
              <w:jc w:val="right"/>
            </w:pPr>
            <w:r>
              <w:t>15.96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76,991,210.41</w:t>
            </w:r>
          </w:p>
        </w:tc>
        <w:tc>
          <w:tcPr>
            <w:tcW w:w="2431" w:type="dxa"/>
            <w:shd w:val="clear" w:color="auto" w:fill="auto"/>
            <w:vAlign w:val="center"/>
          </w:tcPr>
          <w:p>
            <w:pPr>
              <w:ind w:hanging="1"/>
              <w:jc w:val="right"/>
            </w:pPr>
            <w:r>
              <w:rPr>
                <w:b w:val="0"/>
                <w:i w:val="0"/>
                <w:strike w:val="0"/>
                <w:u w:val="none"/>
              </w:rPr>
              <w:t>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60,493,134.93</w:t>
            </w:r>
          </w:p>
        </w:tc>
        <w:tc>
          <w:tcPr>
            <w:tcW w:w="2431" w:type="dxa"/>
            <w:shd w:val="clear" w:color="auto" w:fill="auto"/>
            <w:vAlign w:val="center"/>
          </w:tcPr>
          <w:p>
            <w:pPr>
              <w:ind w:hanging="1"/>
              <w:jc w:val="right"/>
            </w:pPr>
            <w:r>
              <w:rPr>
                <w:b w:val="0"/>
                <w:i w:val="0"/>
                <w:strike w:val="0"/>
                <w:u w:val="none"/>
              </w:rPr>
              <w:t>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23湘乡01</w:t>
            </w:r>
          </w:p>
        </w:tc>
        <w:tc>
          <w:tcPr>
            <w:tcW w:w="2693" w:type="dxa"/>
            <w:shd w:val="clear" w:color="auto" w:fill="auto"/>
            <w:vAlign w:val="center"/>
          </w:tcPr>
          <w:p>
            <w:pPr>
              <w:ind w:hanging="1"/>
              <w:jc w:val="right"/>
            </w:pPr>
            <w:r>
              <w:rPr>
                <w:b w:val="0"/>
                <w:i w:val="0"/>
                <w:strike w:val="0"/>
                <w:u w:val="none"/>
              </w:rPr>
              <w:t>52,711,095.89</w:t>
            </w:r>
          </w:p>
        </w:tc>
        <w:tc>
          <w:tcPr>
            <w:tcW w:w="2431" w:type="dxa"/>
            <w:shd w:val="clear" w:color="auto" w:fill="auto"/>
            <w:vAlign w:val="center"/>
          </w:tcPr>
          <w:p>
            <w:pPr>
              <w:ind w:hanging="1"/>
              <w:jc w:val="right"/>
            </w:pPr>
            <w:r>
              <w:rPr>
                <w:b w:val="0"/>
                <w:i w:val="0"/>
                <w:strike w:val="0"/>
                <w:u w:val="none"/>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25YD2A2</w:t>
            </w:r>
          </w:p>
        </w:tc>
        <w:tc>
          <w:tcPr>
            <w:tcW w:w="2693" w:type="dxa"/>
            <w:shd w:val="clear" w:color="auto" w:fill="auto"/>
            <w:vAlign w:val="center"/>
          </w:tcPr>
          <w:p>
            <w:pPr>
              <w:ind w:hanging="1"/>
              <w:jc w:val="right"/>
            </w:pPr>
            <w:r>
              <w:rPr>
                <w:b w:val="0"/>
                <w:i w:val="0"/>
                <w:strike w:val="0"/>
                <w:u w:val="none"/>
              </w:rPr>
              <w:t>50,341,849.32</w:t>
            </w:r>
          </w:p>
        </w:tc>
        <w:tc>
          <w:tcPr>
            <w:tcW w:w="2431" w:type="dxa"/>
            <w:shd w:val="clear" w:color="auto" w:fill="auto"/>
            <w:vAlign w:val="center"/>
          </w:tcPr>
          <w:p>
            <w:pPr>
              <w:ind w:hanging="1"/>
              <w:jc w:val="right"/>
            </w:pPr>
            <w:r>
              <w:rPr>
                <w:b w:val="0"/>
                <w:i w:val="0"/>
                <w:strike w:val="0"/>
                <w:u w:val="none"/>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银华中证AAA科技创新公司债交易</w:t>
            </w:r>
          </w:p>
        </w:tc>
        <w:tc>
          <w:tcPr>
            <w:tcW w:w="2693" w:type="dxa"/>
            <w:shd w:val="clear" w:color="auto" w:fill="auto"/>
            <w:vAlign w:val="center"/>
          </w:tcPr>
          <w:p>
            <w:pPr>
              <w:ind w:hanging="1"/>
              <w:jc w:val="right"/>
            </w:pPr>
            <w:r>
              <w:rPr>
                <w:b w:val="0"/>
                <w:i w:val="0"/>
                <w:strike w:val="0"/>
                <w:u w:val="none"/>
              </w:rPr>
              <w:t>49,150,920.00</w:t>
            </w:r>
          </w:p>
        </w:tc>
        <w:tc>
          <w:tcPr>
            <w:tcW w:w="2431" w:type="dxa"/>
            <w:shd w:val="clear" w:color="auto" w:fill="auto"/>
            <w:vAlign w:val="center"/>
          </w:tcPr>
          <w:p>
            <w:pPr>
              <w:ind w:hanging="1"/>
              <w:jc w:val="right"/>
            </w:pPr>
            <w:r>
              <w:rPr>
                <w:b w:val="0"/>
                <w:i w:val="0"/>
                <w:strike w:val="0"/>
                <w:u w:val="none"/>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24株金01</w:t>
            </w:r>
          </w:p>
        </w:tc>
        <w:tc>
          <w:tcPr>
            <w:tcW w:w="2693" w:type="dxa"/>
            <w:shd w:val="clear" w:color="auto" w:fill="auto"/>
            <w:vAlign w:val="center"/>
          </w:tcPr>
          <w:p>
            <w:pPr>
              <w:ind w:hanging="1"/>
              <w:jc w:val="right"/>
            </w:pPr>
            <w:r>
              <w:rPr>
                <w:b w:val="0"/>
                <w:i w:val="0"/>
                <w:strike w:val="0"/>
                <w:u w:val="none"/>
              </w:rPr>
              <w:t>46,518,601.07</w:t>
            </w:r>
          </w:p>
        </w:tc>
        <w:tc>
          <w:tcPr>
            <w:tcW w:w="2431" w:type="dxa"/>
            <w:shd w:val="clear" w:color="auto" w:fill="auto"/>
            <w:vAlign w:val="center"/>
          </w:tcPr>
          <w:p>
            <w:pPr>
              <w:ind w:hanging="1"/>
              <w:jc w:val="right"/>
            </w:pPr>
            <w:r>
              <w:rPr>
                <w:b w:val="0"/>
                <w:i w:val="0"/>
                <w:strike w:val="0"/>
                <w:u w:val="none"/>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25四川银行永续债01</w:t>
            </w:r>
          </w:p>
        </w:tc>
        <w:tc>
          <w:tcPr>
            <w:tcW w:w="2693" w:type="dxa"/>
            <w:shd w:val="clear" w:color="auto" w:fill="auto"/>
            <w:vAlign w:val="center"/>
          </w:tcPr>
          <w:p>
            <w:pPr>
              <w:ind w:hanging="1"/>
              <w:jc w:val="right"/>
            </w:pPr>
            <w:r>
              <w:rPr>
                <w:b w:val="0"/>
                <w:i w:val="0"/>
                <w:strike w:val="0"/>
                <w:u w:val="none"/>
              </w:rPr>
              <w:t>43,363,526.44</w:t>
            </w:r>
          </w:p>
        </w:tc>
        <w:tc>
          <w:tcPr>
            <w:tcW w:w="2431" w:type="dxa"/>
            <w:shd w:val="clear" w:color="auto" w:fill="auto"/>
            <w:vAlign w:val="center"/>
          </w:tcPr>
          <w:p>
            <w:pPr>
              <w:ind w:hanging="1"/>
              <w:jc w:val="right"/>
            </w:pPr>
            <w:r>
              <w:rPr>
                <w:b w:val="0"/>
                <w:i w:val="0"/>
                <w:strike w:val="0"/>
                <w:u w:val="none"/>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24株洲金城PPN001</w:t>
            </w:r>
          </w:p>
        </w:tc>
        <w:tc>
          <w:tcPr>
            <w:tcW w:w="2693" w:type="dxa"/>
            <w:shd w:val="clear" w:color="auto" w:fill="auto"/>
            <w:vAlign w:val="center"/>
          </w:tcPr>
          <w:p>
            <w:pPr>
              <w:ind w:hanging="1"/>
              <w:jc w:val="right"/>
            </w:pPr>
            <w:r>
              <w:rPr>
                <w:b w:val="0"/>
                <w:i w:val="0"/>
                <w:strike w:val="0"/>
                <w:u w:val="none"/>
              </w:rPr>
              <w:t>35,233,357.81</w:t>
            </w:r>
          </w:p>
        </w:tc>
        <w:tc>
          <w:tcPr>
            <w:tcW w:w="2431" w:type="dxa"/>
            <w:shd w:val="clear" w:color="auto" w:fill="auto"/>
            <w:vAlign w:val="center"/>
          </w:tcPr>
          <w:p>
            <w:pPr>
              <w:ind w:hanging="1"/>
              <w:jc w:val="right"/>
            </w:pPr>
            <w:r>
              <w:rPr>
                <w:b w:val="0"/>
                <w:i w:val="0"/>
                <w:strike w:val="0"/>
                <w:u w:val="none"/>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34,145,123.29</w:t>
            </w:r>
          </w:p>
        </w:tc>
        <w:tc>
          <w:tcPr>
            <w:tcW w:w="2431" w:type="dxa"/>
            <w:shd w:val="clear" w:color="auto" w:fill="auto"/>
            <w:vAlign w:val="center"/>
          </w:tcPr>
          <w:p>
            <w:pPr>
              <w:ind w:hanging="1"/>
              <w:jc w:val="right"/>
            </w:pPr>
            <w:r>
              <w:rPr>
                <w:b w:val="0"/>
                <w:i w:val="0"/>
                <w:strike w:val="0"/>
                <w:u w:val="none"/>
              </w:rPr>
              <w:t>3.71</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23国开07</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146,846,515.48</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15.96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24湘担Y1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76,991,210.41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60,493,134.93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6.58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23湘乡01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52,711,095.89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25YD2A2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50,341,849.32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5.47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银华中证AAA科技创新公司债交易</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49,150,920.00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46,518,601.07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25四川银行永续债01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43,363,526.44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24株洲金城PPN001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35,233,357.81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34,145,123.29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3.71</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731903861410268</w:t>
            </w:r>
          </w:p>
        </w:tc>
        <w:tc>
          <w:tcPr>
            <w:tcW w:w="2693" w:type="dxa"/>
            <w:shd w:val="clear" w:color="auto" w:fill="auto"/>
            <w:vAlign w:val="center"/>
          </w:tcPr>
          <w:p>
            <w:pPr>
              <w:spacing w:before="100" w:beforeAutospacing="1" w:after="100" w:afterAutospacing="1"/>
            </w:pPr>
            <w:r>
              <w:t>湖南银行股份有限公司-添利系列固定期限273天人民币理财产品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tbl>
      <w:tblPr>
        <w:tblStyle w:val="17"/>
        <w:tblW w:w="10038"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5"/>
        <w:gridCol w:w="1129"/>
        <w:gridCol w:w="1175"/>
        <w:gridCol w:w="1046"/>
        <w:gridCol w:w="1422"/>
        <w:gridCol w:w="1477"/>
        <w:gridCol w:w="1350"/>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D6D6D6"/>
            <w:vAlign w:val="center"/>
          </w:tcPr>
          <w:p>
            <w:pPr>
              <w:spacing w:before="100" w:beforeAutospacing="1" w:after="100" w:afterAutospacing="1"/>
              <w:jc w:val="center"/>
              <w:rPr>
                <w:b/>
                <w:bCs/>
                <w:szCs w:val="22"/>
              </w:rPr>
            </w:pPr>
            <w:r>
              <w:rPr>
                <w:rFonts w:hint="eastAsia"/>
                <w:b/>
                <w:bCs/>
                <w:szCs w:val="22"/>
              </w:rPr>
              <w:t>序号</w:t>
            </w:r>
          </w:p>
        </w:tc>
        <w:tc>
          <w:tcPr>
            <w:tcW w:w="1275" w:type="dxa"/>
            <w:shd w:val="clear" w:color="auto" w:fill="D6D6D6"/>
            <w:vAlign w:val="center"/>
          </w:tcPr>
          <w:p>
            <w:pPr>
              <w:spacing w:before="100" w:beforeAutospacing="1" w:after="100" w:afterAutospacing="1"/>
              <w:jc w:val="center"/>
              <w:rPr>
                <w:b/>
                <w:bCs/>
                <w:szCs w:val="22"/>
              </w:rPr>
            </w:pPr>
            <w:r>
              <w:rPr>
                <w:rFonts w:hint="eastAsia"/>
                <w:b/>
                <w:bCs/>
                <w:szCs w:val="22"/>
              </w:rPr>
              <w:t>交易时间</w:t>
            </w:r>
          </w:p>
        </w:tc>
        <w:tc>
          <w:tcPr>
            <w:tcW w:w="1129" w:type="dxa"/>
            <w:shd w:val="clear" w:color="auto" w:fill="D6D6D6"/>
            <w:vAlign w:val="center"/>
          </w:tcPr>
          <w:p>
            <w:pPr>
              <w:spacing w:before="100" w:beforeAutospacing="1" w:after="100" w:afterAutospacing="1"/>
              <w:jc w:val="center"/>
              <w:rPr>
                <w:b/>
                <w:bCs/>
                <w:szCs w:val="22"/>
              </w:rPr>
            </w:pPr>
            <w:r>
              <w:rPr>
                <w:rFonts w:hint="eastAsia"/>
                <w:b/>
                <w:bCs/>
                <w:szCs w:val="22"/>
              </w:rPr>
              <w:t>投资标的</w:t>
            </w:r>
          </w:p>
        </w:tc>
        <w:tc>
          <w:tcPr>
            <w:tcW w:w="1175" w:type="dxa"/>
            <w:shd w:val="clear" w:color="auto" w:fill="D6D6D6"/>
            <w:vAlign w:val="center"/>
          </w:tcPr>
          <w:p>
            <w:pPr>
              <w:spacing w:before="100" w:beforeAutospacing="1" w:after="100" w:afterAutospacing="1"/>
              <w:jc w:val="center"/>
              <w:rPr>
                <w:b/>
                <w:bCs/>
                <w:szCs w:val="22"/>
              </w:rPr>
            </w:pPr>
            <w:r>
              <w:rPr>
                <w:rFonts w:hint="eastAsia"/>
                <w:b/>
                <w:bCs/>
                <w:szCs w:val="22"/>
              </w:rPr>
              <w:t>交易</w:t>
            </w:r>
            <w:r>
              <w:rPr>
                <w:rFonts w:hint="eastAsia"/>
                <w:b/>
                <w:bCs/>
                <w:szCs w:val="22"/>
                <w:lang w:val="en-US" w:eastAsia="zh-CN"/>
              </w:rPr>
              <w:t>面</w:t>
            </w:r>
            <w:r>
              <w:rPr>
                <w:rFonts w:hint="eastAsia"/>
                <w:b/>
                <w:bCs/>
                <w:szCs w:val="22"/>
              </w:rPr>
              <w:t>额（</w:t>
            </w:r>
            <w:r>
              <w:rPr>
                <w:rFonts w:hint="eastAsia"/>
                <w:b/>
                <w:bCs/>
                <w:szCs w:val="22"/>
                <w:lang w:val="en-US" w:eastAsia="zh-CN"/>
              </w:rPr>
              <w:t>万元</w:t>
            </w:r>
            <w:r>
              <w:rPr>
                <w:rFonts w:hint="eastAsia"/>
                <w:b/>
                <w:bCs/>
                <w:szCs w:val="22"/>
              </w:rPr>
              <w:t>）</w:t>
            </w:r>
          </w:p>
        </w:tc>
        <w:tc>
          <w:tcPr>
            <w:tcW w:w="1046" w:type="dxa"/>
            <w:shd w:val="clear" w:color="auto" w:fill="D6D6D6"/>
            <w:vAlign w:val="center"/>
          </w:tcPr>
          <w:p>
            <w:pPr>
              <w:spacing w:before="100" w:beforeAutospacing="1" w:after="100" w:afterAutospacing="1"/>
              <w:jc w:val="center"/>
              <w:rPr>
                <w:rFonts w:hint="eastAsia" w:eastAsia="宋体"/>
                <w:b/>
                <w:bCs/>
                <w:szCs w:val="22"/>
                <w:lang w:eastAsia="zh-CN"/>
              </w:rPr>
            </w:pPr>
            <w:r>
              <w:rPr>
                <w:rFonts w:hint="eastAsia"/>
                <w:b/>
                <w:bCs/>
                <w:szCs w:val="22"/>
              </w:rPr>
              <w:t>交易</w:t>
            </w:r>
            <w:r>
              <w:rPr>
                <w:rFonts w:hint="eastAsia"/>
                <w:b/>
                <w:bCs/>
                <w:szCs w:val="22"/>
                <w:lang w:val="en-US" w:eastAsia="zh-CN"/>
              </w:rPr>
              <w:t>价格</w:t>
            </w:r>
          </w:p>
        </w:tc>
        <w:tc>
          <w:tcPr>
            <w:tcW w:w="1422" w:type="dxa"/>
            <w:shd w:val="clear" w:color="auto" w:fill="D6D6D6"/>
            <w:vAlign w:val="center"/>
          </w:tcPr>
          <w:p>
            <w:pPr>
              <w:spacing w:before="100" w:beforeAutospacing="1" w:after="100" w:afterAutospacing="1"/>
              <w:jc w:val="center"/>
              <w:rPr>
                <w:b/>
                <w:bCs/>
                <w:szCs w:val="22"/>
              </w:rPr>
            </w:pPr>
            <w:r>
              <w:rPr>
                <w:rFonts w:hint="eastAsia"/>
                <w:b/>
                <w:bCs/>
                <w:szCs w:val="22"/>
              </w:rPr>
              <w:t>关联方</w:t>
            </w:r>
          </w:p>
        </w:tc>
        <w:tc>
          <w:tcPr>
            <w:tcW w:w="1477" w:type="dxa"/>
            <w:shd w:val="clear" w:color="auto" w:fill="D6D6D6"/>
            <w:vAlign w:val="center"/>
          </w:tcPr>
          <w:p>
            <w:pPr>
              <w:spacing w:before="100" w:beforeAutospacing="1" w:after="100" w:afterAutospacing="1"/>
              <w:jc w:val="center"/>
              <w:rPr>
                <w:b/>
                <w:bCs/>
                <w:szCs w:val="22"/>
              </w:rPr>
            </w:pPr>
            <w:r>
              <w:rPr>
                <w:rFonts w:hint="eastAsia"/>
                <w:b/>
                <w:bCs/>
                <w:szCs w:val="22"/>
              </w:rPr>
              <w:t>关联方类别</w:t>
            </w:r>
          </w:p>
        </w:tc>
        <w:tc>
          <w:tcPr>
            <w:tcW w:w="1350" w:type="dxa"/>
            <w:shd w:val="clear" w:color="auto" w:fill="D6D6D6"/>
            <w:vAlign w:val="center"/>
          </w:tcPr>
          <w:p>
            <w:pPr>
              <w:spacing w:before="100" w:beforeAutospacing="1" w:after="100" w:afterAutospacing="1"/>
              <w:jc w:val="center"/>
              <w:rPr>
                <w:b/>
                <w:bCs/>
                <w:szCs w:val="22"/>
              </w:rPr>
            </w:pPr>
            <w:r>
              <w:rPr>
                <w:rFonts w:hint="eastAsia"/>
                <w:b/>
                <w:bCs/>
                <w:szCs w:val="22"/>
              </w:rPr>
              <w:t>关联方交易类型</w:t>
            </w:r>
          </w:p>
        </w:tc>
        <w:tc>
          <w:tcPr>
            <w:tcW w:w="624" w:type="dxa"/>
            <w:shd w:val="clear" w:color="auto" w:fill="D6D6D6"/>
            <w:vAlign w:val="center"/>
          </w:tcPr>
          <w:p>
            <w:pPr>
              <w:spacing w:before="100" w:beforeAutospacing="1" w:after="100" w:afterAutospacing="1"/>
              <w:jc w:val="center"/>
              <w:rPr>
                <w:b/>
                <w:bCs/>
                <w:szCs w:val="22"/>
              </w:rPr>
            </w:pPr>
            <w:r>
              <w:rPr>
                <w:rFonts w:hint="eastAsia"/>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color w:val="000000"/>
                <w:kern w:val="0"/>
                <w:sz w:val="20"/>
                <w:szCs w:val="20"/>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cs="宋体"/>
                <w:i w:val="0"/>
                <w:iCs w:val="0"/>
                <w:color w:val="000000"/>
                <w:kern w:val="0"/>
                <w:sz w:val="20"/>
                <w:szCs w:val="20"/>
                <w:u w:val="none"/>
                <w:lang w:val="en-US" w:eastAsia="zh-CN" w:bidi="ar"/>
              </w:rPr>
              <w:t>11-03</w:t>
            </w:r>
          </w:p>
        </w:tc>
        <w:tc>
          <w:tcPr>
            <w:tcW w:w="1129"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逆回购</w:t>
            </w:r>
          </w:p>
        </w:tc>
        <w:tc>
          <w:tcPr>
            <w:tcW w:w="11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2500</w:t>
            </w:r>
          </w:p>
        </w:tc>
        <w:tc>
          <w:tcPr>
            <w:tcW w:w="1046"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1.40%</w:t>
            </w:r>
          </w:p>
        </w:tc>
        <w:tc>
          <w:tcPr>
            <w:tcW w:w="1422"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招商证券资产管理有限公司</w:t>
            </w:r>
          </w:p>
        </w:tc>
        <w:tc>
          <w:tcPr>
            <w:tcW w:w="1477"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托管机构的关联法人</w:t>
            </w:r>
          </w:p>
        </w:tc>
        <w:tc>
          <w:tcPr>
            <w:tcW w:w="135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与关联方产品户进行回购交易</w:t>
            </w:r>
          </w:p>
        </w:tc>
        <w:tc>
          <w:tcPr>
            <w:tcW w:w="624" w:type="dxa"/>
            <w:shd w:val="clear" w:color="auto" w:fill="auto"/>
            <w:vAlign w:val="center"/>
          </w:tcPr>
          <w:p>
            <w:pPr>
              <w:jc w:val="center"/>
              <w:rPr>
                <w:rFonts w:hint="eastAsia" w:eastAsia="宋体"/>
                <w:lang w:eastAsia="zh-CN"/>
              </w:rPr>
            </w:pPr>
          </w:p>
        </w:tc>
      </w:tr>
    </w:tbl>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bookmarkStart w:id="3" w:name="_GoBack"/>
            <w:bookmarkEnd w:id="3"/>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1A6BD6"/>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2026-01-22T09:06:37Z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