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添利系列最短持有30天人民币理财产品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添利系列最短持有30天人民币理财产品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C1136023000036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2023-06-27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425,984,239.64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[1.4%-2.5%]/年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100.19%</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5.81</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922,221.53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2,387,479.71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450,763,639.03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450,763,639.03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1.0581</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bookmarkStart w:id="2" w:name="OLE_LINK1" w:colFirst="2" w:colLast="5"/>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3,327,905.95</w:t>
            </w:r>
          </w:p>
        </w:tc>
        <w:tc>
          <w:tcPr>
            <w:tcW w:w="1749" w:type="dxa"/>
            <w:shd w:val="clear" w:color="auto" w:fill="auto"/>
            <w:vAlign w:val="center"/>
          </w:tcPr>
          <w:p>
            <w:pPr>
              <w:jc w:val="right"/>
            </w:pPr>
            <w:r>
              <w:t>0.74</w:t>
            </w:r>
          </w:p>
        </w:tc>
        <w:tc>
          <w:tcPr>
            <w:tcW w:w="1653" w:type="dxa"/>
            <w:vAlign w:val="center"/>
          </w:tcPr>
          <w:p>
            <w:pPr>
              <w:jc w:val="right"/>
            </w:pPr>
            <w:r>
              <w:t>3,487,673.77</w:t>
            </w:r>
          </w:p>
        </w:tc>
        <w:tc>
          <w:tcPr>
            <w:tcW w:w="1705" w:type="dxa"/>
            <w:vAlign w:val="center"/>
          </w:tcPr>
          <w:p>
            <w:pPr>
              <w:jc w:val="right"/>
            </w:pPr>
            <w: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252,959,507.48</w:t>
            </w:r>
          </w:p>
        </w:tc>
        <w:tc>
          <w:tcPr>
            <w:tcW w:w="1749" w:type="dxa"/>
            <w:shd w:val="clear" w:color="auto" w:fill="auto"/>
            <w:vAlign w:val="center"/>
          </w:tcPr>
          <w:p>
            <w:pPr>
              <w:jc w:val="right"/>
            </w:pPr>
            <w:r>
              <w:t>56.01</w:t>
            </w:r>
          </w:p>
        </w:tc>
        <w:tc>
          <w:tcPr>
            <w:tcW w:w="1653" w:type="dxa"/>
            <w:vAlign w:val="center"/>
          </w:tcPr>
          <w:p>
            <w:pPr>
              <w:jc w:val="right"/>
            </w:pPr>
            <w:r>
              <w:t>64,195,228.78</w:t>
            </w:r>
          </w:p>
        </w:tc>
        <w:tc>
          <w:tcPr>
            <w:tcW w:w="1705" w:type="dxa"/>
            <w:vAlign w:val="center"/>
          </w:tcPr>
          <w:p>
            <w:pPr>
              <w:jc w:val="right"/>
            </w:pPr>
            <w:r>
              <w:t>14.21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250,501,257.56</w:t>
            </w:r>
          </w:p>
        </w:tc>
        <w:tc>
          <w:tcPr>
            <w:tcW w:w="1749" w:type="dxa"/>
            <w:shd w:val="clear" w:color="auto" w:fill="auto"/>
            <w:vAlign w:val="center"/>
          </w:tcPr>
          <w:p>
            <w:pPr>
              <w:jc w:val="right"/>
            </w:pPr>
            <w:r>
              <w:t>55.46</w:t>
            </w:r>
          </w:p>
        </w:tc>
        <w:tc>
          <w:tcPr>
            <w:tcW w:w="1653" w:type="dxa"/>
            <w:vAlign w:val="center"/>
          </w:tcPr>
          <w:p>
            <w:pPr>
              <w:jc w:val="right"/>
            </w:pPr>
            <w:r>
              <w:t>64,195,228.78</w:t>
            </w:r>
          </w:p>
        </w:tc>
        <w:tc>
          <w:tcPr>
            <w:tcW w:w="1705" w:type="dxa"/>
            <w:vAlign w:val="center"/>
          </w:tcPr>
          <w:p>
            <w:pPr>
              <w:jc w:val="right"/>
            </w:pPr>
            <w:r>
              <w:t>14.21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2,458,249.92</w:t>
            </w:r>
          </w:p>
        </w:tc>
        <w:tc>
          <w:tcPr>
            <w:tcW w:w="1749" w:type="dxa"/>
            <w:shd w:val="clear" w:color="auto" w:fill="auto"/>
            <w:vAlign w:val="center"/>
          </w:tcPr>
          <w:p>
            <w:pPr>
              <w:jc w:val="right"/>
            </w:pPr>
            <w:r>
              <w:t>0.54</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5,000,326.57</w:t>
            </w:r>
          </w:p>
        </w:tc>
        <w:tc>
          <w:tcPr>
            <w:tcW w:w="1749" w:type="dxa"/>
            <w:shd w:val="clear" w:color="auto" w:fill="auto"/>
            <w:vAlign w:val="center"/>
          </w:tcPr>
          <w:p>
            <w:pPr>
              <w:jc w:val="right"/>
            </w:pPr>
            <w:r>
              <w:t>1.11</w:t>
            </w:r>
          </w:p>
        </w:tc>
        <w:tc>
          <w:tcPr>
            <w:tcW w:w="1653" w:type="dxa"/>
            <w:vAlign w:val="center"/>
          </w:tcPr>
          <w:p>
            <w:pPr>
              <w:jc w:val="right"/>
            </w:pPr>
            <w:r>
              <w:t>121,534,704.64</w:t>
            </w:r>
          </w:p>
        </w:tc>
        <w:tc>
          <w:tcPr>
            <w:tcW w:w="1705" w:type="dxa"/>
            <w:vAlign w:val="center"/>
          </w:tcPr>
          <w:p>
            <w:pPr>
              <w:jc w:val="right"/>
            </w:pPr>
            <w:r>
              <w:t>26.91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935,854.22</w:t>
            </w:r>
          </w:p>
        </w:tc>
        <w:tc>
          <w:tcPr>
            <w:tcW w:w="1749" w:type="dxa"/>
            <w:shd w:val="clear" w:color="auto" w:fill="auto"/>
            <w:vAlign w:val="center"/>
          </w:tcPr>
          <w:p>
            <w:pPr>
              <w:jc w:val="right"/>
            </w:pPr>
            <w:r>
              <w:t>0.21</w:t>
            </w:r>
          </w:p>
        </w:tc>
        <w:tc>
          <w:tcPr>
            <w:tcW w:w="1653" w:type="dxa"/>
            <w:vAlign w:val="center"/>
          </w:tcPr>
          <w:p>
            <w:pPr>
              <w:jc w:val="right"/>
            </w:pPr>
            <w:r>
              <w:t>3,801,619.69</w:t>
            </w:r>
          </w:p>
        </w:tc>
        <w:tc>
          <w:tcPr>
            <w:tcW w:w="1705" w:type="dxa"/>
            <w:vAlign w:val="center"/>
          </w:tcPr>
          <w:p>
            <w:pPr>
              <w:jc w:val="right"/>
            </w:pPr>
            <w: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189,418,739.60</w:t>
            </w:r>
          </w:p>
        </w:tc>
        <w:tc>
          <w:tcPr>
            <w:tcW w:w="1749" w:type="dxa"/>
            <w:shd w:val="clear" w:color="auto" w:fill="auto"/>
            <w:vAlign w:val="center"/>
          </w:tcPr>
          <w:p>
            <w:pPr>
              <w:jc w:val="right"/>
            </w:pPr>
            <w:r>
              <w:t>41.94</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7.16</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451,642,340.98</w:t>
            </w:r>
          </w:p>
        </w:tc>
        <w:tc>
          <w:tcPr>
            <w:tcW w:w="1749" w:type="dxa"/>
            <w:shd w:val="clear" w:color="auto" w:fill="auto"/>
          </w:tcPr>
          <w:p>
            <w:pPr>
              <w:jc w:val="right"/>
            </w:pPr>
            <w:r>
              <w:t>100.00</w:t>
            </w:r>
          </w:p>
        </w:tc>
        <w:tc>
          <w:tcPr>
            <w:tcW w:w="1653" w:type="dxa"/>
          </w:tcPr>
          <w:p>
            <w:pPr>
              <w:jc w:val="right"/>
            </w:pPr>
            <w:r>
              <w:t>193,019,226.88</w:t>
            </w:r>
          </w:p>
        </w:tc>
        <w:tc>
          <w:tcPr>
            <w:tcW w:w="1705" w:type="dxa"/>
          </w:tcPr>
          <w:p>
            <w:pPr>
              <w:jc w:val="right"/>
            </w:pPr>
            <w:r>
              <w:t>42.74</w:t>
            </w:r>
          </w:p>
        </w:tc>
      </w:tr>
      <w:bookmarkEnd w:id="2"/>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6.81%；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申万宏源精睿甄选1号</w:t>
            </w:r>
          </w:p>
        </w:tc>
        <w:tc>
          <w:tcPr>
            <w:tcW w:w="2693" w:type="dxa"/>
            <w:shd w:val="clear" w:color="auto" w:fill="auto"/>
            <w:vAlign w:val="center"/>
          </w:tcPr>
          <w:p>
            <w:pPr>
              <w:jc w:val="right"/>
            </w:pPr>
            <w:r>
              <w:t>189,418,739.60</w:t>
            </w:r>
          </w:p>
        </w:tc>
        <w:tc>
          <w:tcPr>
            <w:tcW w:w="2431" w:type="dxa"/>
            <w:shd w:val="clear" w:color="auto" w:fill="auto"/>
            <w:vAlign w:val="center"/>
          </w:tcPr>
          <w:p>
            <w:pPr>
              <w:jc w:val="right"/>
            </w:pPr>
            <w:r>
              <w:t>42.02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24湘担Y1</w:t>
            </w:r>
          </w:p>
        </w:tc>
        <w:tc>
          <w:tcPr>
            <w:tcW w:w="2693" w:type="dxa"/>
            <w:shd w:val="clear" w:color="auto" w:fill="auto"/>
            <w:vAlign w:val="center"/>
          </w:tcPr>
          <w:p>
            <w:pPr>
              <w:ind w:hanging="1"/>
              <w:jc w:val="right"/>
            </w:pPr>
            <w:r>
              <w:rPr>
                <w:b w:val="0"/>
                <w:i w:val="0"/>
                <w:strike w:val="0"/>
                <w:u w:val="none"/>
              </w:rPr>
              <w:t>30,232,150.69</w:t>
            </w:r>
          </w:p>
        </w:tc>
        <w:tc>
          <w:tcPr>
            <w:tcW w:w="2431" w:type="dxa"/>
            <w:shd w:val="clear" w:color="auto" w:fill="auto"/>
            <w:vAlign w:val="center"/>
          </w:tcPr>
          <w:p>
            <w:pPr>
              <w:ind w:hanging="1"/>
              <w:jc w:val="right"/>
            </w:pPr>
            <w:r>
              <w:rPr>
                <w:b w:val="0"/>
                <w:i w:val="0"/>
                <w:strike w:val="0"/>
                <w:u w:val="none"/>
              </w:rPr>
              <w:t>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20,080,111.64</w:t>
            </w:r>
          </w:p>
        </w:tc>
        <w:tc>
          <w:tcPr>
            <w:tcW w:w="2431" w:type="dxa"/>
            <w:shd w:val="clear" w:color="auto" w:fill="auto"/>
            <w:vAlign w:val="center"/>
          </w:tcPr>
          <w:p>
            <w:pPr>
              <w:ind w:hanging="1"/>
              <w:jc w:val="right"/>
            </w:pPr>
            <w:r>
              <w:rPr>
                <w:b w:val="0"/>
                <w:i w:val="0"/>
                <w:strike w:val="0"/>
                <w:u w:val="none"/>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25农发20</w:t>
            </w:r>
          </w:p>
        </w:tc>
        <w:tc>
          <w:tcPr>
            <w:tcW w:w="2693" w:type="dxa"/>
            <w:shd w:val="clear" w:color="auto" w:fill="auto"/>
            <w:vAlign w:val="center"/>
          </w:tcPr>
          <w:p>
            <w:pPr>
              <w:ind w:hanging="1"/>
              <w:jc w:val="right"/>
            </w:pPr>
            <w:r>
              <w:rPr>
                <w:b w:val="0"/>
                <w:i w:val="0"/>
                <w:strike w:val="0"/>
                <w:u w:val="none"/>
              </w:rPr>
              <w:t>19,851,304.11</w:t>
            </w:r>
          </w:p>
        </w:tc>
        <w:tc>
          <w:tcPr>
            <w:tcW w:w="2431" w:type="dxa"/>
            <w:shd w:val="clear" w:color="auto" w:fill="auto"/>
            <w:vAlign w:val="center"/>
          </w:tcPr>
          <w:p>
            <w:pPr>
              <w:ind w:hanging="1"/>
              <w:jc w:val="right"/>
            </w:pPr>
            <w:r>
              <w:rPr>
                <w:b w:val="0"/>
                <w:i w:val="0"/>
                <w:strike w:val="0"/>
                <w:u w:val="none"/>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19,687,784.38</w:t>
            </w:r>
          </w:p>
        </w:tc>
        <w:tc>
          <w:tcPr>
            <w:tcW w:w="2431" w:type="dxa"/>
            <w:shd w:val="clear" w:color="auto" w:fill="auto"/>
            <w:vAlign w:val="center"/>
          </w:tcPr>
          <w:p>
            <w:pPr>
              <w:ind w:hanging="1"/>
              <w:jc w:val="right"/>
            </w:pPr>
            <w:r>
              <w:rPr>
                <w:b w:val="0"/>
                <w:i w:val="0"/>
                <w:strike w:val="0"/>
                <w:u w:val="none"/>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19含浦01</w:t>
            </w:r>
          </w:p>
        </w:tc>
        <w:tc>
          <w:tcPr>
            <w:tcW w:w="2693" w:type="dxa"/>
            <w:shd w:val="clear" w:color="auto" w:fill="auto"/>
            <w:vAlign w:val="center"/>
          </w:tcPr>
          <w:p>
            <w:pPr>
              <w:ind w:hanging="1"/>
              <w:jc w:val="right"/>
            </w:pPr>
            <w:r>
              <w:rPr>
                <w:b w:val="0"/>
                <w:i w:val="0"/>
                <w:strike w:val="0"/>
                <w:u w:val="none"/>
              </w:rPr>
              <w:t>19,619,954.80</w:t>
            </w:r>
          </w:p>
        </w:tc>
        <w:tc>
          <w:tcPr>
            <w:tcW w:w="2431" w:type="dxa"/>
            <w:shd w:val="clear" w:color="auto" w:fill="auto"/>
            <w:vAlign w:val="center"/>
          </w:tcPr>
          <w:p>
            <w:pPr>
              <w:ind w:hanging="1"/>
              <w:jc w:val="right"/>
            </w:pPr>
            <w:r>
              <w:rPr>
                <w:b w:val="0"/>
                <w:i w:val="0"/>
                <w:strike w:val="0"/>
                <w:u w:val="none"/>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23广开03</w:t>
            </w:r>
          </w:p>
        </w:tc>
        <w:tc>
          <w:tcPr>
            <w:tcW w:w="2693" w:type="dxa"/>
            <w:shd w:val="clear" w:color="auto" w:fill="auto"/>
            <w:vAlign w:val="center"/>
          </w:tcPr>
          <w:p>
            <w:pPr>
              <w:ind w:hanging="1"/>
              <w:jc w:val="right"/>
            </w:pPr>
            <w:r>
              <w:rPr>
                <w:b w:val="0"/>
                <w:i w:val="0"/>
                <w:strike w:val="0"/>
                <w:u w:val="none"/>
              </w:rPr>
              <w:t>17,172,275.21</w:t>
            </w:r>
          </w:p>
        </w:tc>
        <w:tc>
          <w:tcPr>
            <w:tcW w:w="2431" w:type="dxa"/>
            <w:shd w:val="clear" w:color="auto" w:fill="auto"/>
            <w:vAlign w:val="center"/>
          </w:tcPr>
          <w:p>
            <w:pPr>
              <w:ind w:hanging="1"/>
              <w:jc w:val="right"/>
            </w:pPr>
            <w:r>
              <w:rPr>
                <w:b w:val="0"/>
                <w:i w:val="0"/>
                <w:strike w:val="0"/>
                <w:u w:val="none"/>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12,789,944.38</w:t>
            </w:r>
          </w:p>
        </w:tc>
        <w:tc>
          <w:tcPr>
            <w:tcW w:w="2431" w:type="dxa"/>
            <w:shd w:val="clear" w:color="auto" w:fill="auto"/>
            <w:vAlign w:val="center"/>
          </w:tcPr>
          <w:p>
            <w:pPr>
              <w:ind w:hanging="1"/>
              <w:jc w:val="right"/>
            </w:pPr>
            <w:r>
              <w:rPr>
                <w:b w:val="0"/>
                <w:i w:val="0"/>
                <w:strike w:val="0"/>
                <w:u w:val="none"/>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21桂林银行二级01</w:t>
            </w:r>
          </w:p>
        </w:tc>
        <w:tc>
          <w:tcPr>
            <w:tcW w:w="2693" w:type="dxa"/>
            <w:shd w:val="clear" w:color="auto" w:fill="auto"/>
            <w:vAlign w:val="center"/>
          </w:tcPr>
          <w:p>
            <w:pPr>
              <w:ind w:hanging="1"/>
              <w:jc w:val="right"/>
            </w:pPr>
            <w:r>
              <w:rPr>
                <w:b w:val="0"/>
                <w:i w:val="0"/>
                <w:strike w:val="0"/>
                <w:u w:val="none"/>
              </w:rPr>
              <w:t>11,752,325.07</w:t>
            </w:r>
          </w:p>
        </w:tc>
        <w:tc>
          <w:tcPr>
            <w:tcW w:w="2431" w:type="dxa"/>
            <w:shd w:val="clear" w:color="auto" w:fill="auto"/>
            <w:vAlign w:val="center"/>
          </w:tcPr>
          <w:p>
            <w:pPr>
              <w:ind w:hanging="1"/>
              <w:jc w:val="right"/>
            </w:pPr>
            <w:r>
              <w:rPr>
                <w:b w:val="0"/>
                <w:i w:val="0"/>
                <w:strike w:val="0"/>
                <w:u w:val="none"/>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21株城02</w:t>
            </w:r>
          </w:p>
        </w:tc>
        <w:tc>
          <w:tcPr>
            <w:tcW w:w="2693" w:type="dxa"/>
            <w:shd w:val="clear" w:color="auto" w:fill="auto"/>
            <w:vAlign w:val="center"/>
          </w:tcPr>
          <w:p>
            <w:pPr>
              <w:ind w:hanging="1"/>
              <w:jc w:val="right"/>
            </w:pPr>
            <w:r>
              <w:rPr>
                <w:b w:val="0"/>
                <w:i w:val="0"/>
                <w:strike w:val="0"/>
                <w:u w:val="none"/>
              </w:rPr>
              <w:t>10,826,798.90</w:t>
            </w:r>
          </w:p>
        </w:tc>
        <w:tc>
          <w:tcPr>
            <w:tcW w:w="2431" w:type="dxa"/>
            <w:shd w:val="clear" w:color="auto" w:fill="auto"/>
            <w:vAlign w:val="center"/>
          </w:tcPr>
          <w:p>
            <w:pPr>
              <w:ind w:hanging="1"/>
              <w:jc w:val="right"/>
            </w:pPr>
            <w:r>
              <w:rPr>
                <w:b w:val="0"/>
                <w:i w:val="0"/>
                <w:strike w:val="0"/>
                <w:u w:val="none"/>
              </w:rPr>
              <w:t>2.40</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24湘担Y1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30,232,150.69</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6.71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20,080,111.64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4.45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14天债券协议回购_206014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19,922,254.24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4.42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25农发20</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19,851,304.11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4.40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19,687,784.38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19含浦01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19,619,954.80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23广开03</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17,172,275.21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24华发集团MTN002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14,487,658.86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25北部湾银行02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14,106,146.24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w:t>
            </w:r>
            <w:bookmarkStart w:id="3" w:name="_GoBack"/>
            <w:bookmarkEnd w:id="3"/>
            <w:r>
              <w:rPr>
                <w:rFonts w:asciiTheme="majorEastAsia" w:hAnsiTheme="majorEastAsia" w:eastAsiaTheme="majorEastAsia"/>
                <w:b w:val="0"/>
                <w:i w:val="0"/>
                <w:strike w:val="0"/>
                <w:u w:val="none"/>
              </w:rPr>
              <w:t>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12,789,944.38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2.84</w:t>
            </w:r>
          </w:p>
        </w:tc>
      </w:tr>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731903861410904</w:t>
            </w:r>
          </w:p>
        </w:tc>
        <w:tc>
          <w:tcPr>
            <w:tcW w:w="2693" w:type="dxa"/>
            <w:shd w:val="clear" w:color="auto" w:fill="auto"/>
            <w:vAlign w:val="center"/>
          </w:tcPr>
          <w:p>
            <w:pPr>
              <w:spacing w:before="100" w:beforeAutospacing="1" w:after="100" w:afterAutospacing="1"/>
            </w:pPr>
            <w:r>
              <w:t>湖南银行股份有限公司-添利系列最短持有30天人民币理财产品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26B39C1"/>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10</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2026-01-23T01:15:36Z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