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融智理财添利系列-D540-15理财产品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融智理财添利系列-D540-15理财产品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40,218,000.00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[2%-2.8%]/年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100.68%</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17.16</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1,236,014.65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225,732.27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41,499,026.26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41,499,026.26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1.1716</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34,162,251.78</w:t>
            </w:r>
          </w:p>
        </w:tc>
        <w:tc>
          <w:tcPr>
            <w:tcW w:w="1749" w:type="dxa"/>
            <w:shd w:val="clear" w:color="auto" w:fill="auto"/>
            <w:vAlign w:val="center"/>
          </w:tcPr>
          <w:p>
            <w:pPr>
              <w:jc w:val="right"/>
            </w:pPr>
            <w:r>
              <w:t>81.76</w:t>
            </w:r>
          </w:p>
        </w:tc>
        <w:tc>
          <w:tcPr>
            <w:tcW w:w="1653" w:type="dxa"/>
            <w:vAlign w:val="center"/>
          </w:tcPr>
          <w:p>
            <w:pPr>
              <w:jc w:val="right"/>
            </w:pPr>
            <w:r>
              <w:t>6,942,754.36</w:t>
            </w:r>
          </w:p>
        </w:tc>
        <w:tc>
          <w:tcPr>
            <w:tcW w:w="1705" w:type="dxa"/>
            <w:vAlign w:val="center"/>
          </w:tcPr>
          <w:p>
            <w:pPr>
              <w:jc w:val="right"/>
            </w:pPr>
            <w:r>
              <w:t>16.62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34,162,251.78</w:t>
            </w:r>
          </w:p>
        </w:tc>
        <w:tc>
          <w:tcPr>
            <w:tcW w:w="1749" w:type="dxa"/>
            <w:shd w:val="clear" w:color="auto" w:fill="auto"/>
            <w:vAlign w:val="center"/>
          </w:tcPr>
          <w:p>
            <w:pPr>
              <w:jc w:val="right"/>
            </w:pPr>
            <w:r>
              <w:t>81.76</w:t>
            </w:r>
          </w:p>
        </w:tc>
        <w:tc>
          <w:tcPr>
            <w:tcW w:w="1653" w:type="dxa"/>
            <w:vAlign w:val="center"/>
          </w:tcPr>
          <w:p>
            <w:pPr>
              <w:jc w:val="right"/>
            </w:pPr>
            <w:r>
              <w:t>6,942,754.36</w:t>
            </w:r>
          </w:p>
        </w:tc>
        <w:tc>
          <w:tcPr>
            <w:tcW w:w="1705" w:type="dxa"/>
            <w:vAlign w:val="center"/>
          </w:tcPr>
          <w:p>
            <w:pPr>
              <w:jc w:val="right"/>
            </w:pPr>
            <w:r>
              <w:t>16.62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615,399.50</w:t>
            </w:r>
          </w:p>
        </w:tc>
        <w:tc>
          <w:tcPr>
            <w:tcW w:w="1749" w:type="dxa"/>
            <w:shd w:val="clear" w:color="auto" w:fill="auto"/>
            <w:vAlign w:val="center"/>
          </w:tcPr>
          <w:p>
            <w:pPr>
              <w:jc w:val="right"/>
            </w:pPr>
            <w:r>
              <w:t>1.47</w:t>
            </w:r>
          </w:p>
        </w:tc>
        <w:tc>
          <w:tcPr>
            <w:tcW w:w="1653" w:type="dxa"/>
            <w:vAlign w:val="center"/>
          </w:tcPr>
          <w:p>
            <w:pPr>
              <w:jc w:val="right"/>
            </w:pPr>
            <w:r>
              <w:t>64,930.19</w:t>
            </w:r>
          </w:p>
        </w:tc>
        <w:tc>
          <w:tcPr>
            <w:tcW w:w="1705" w:type="dxa"/>
            <w:vAlign w:val="center"/>
          </w:tcPr>
          <w:p>
            <w:pPr>
              <w:jc w:val="right"/>
            </w:pPr>
            <w: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7,003,369.77</w:t>
            </w:r>
          </w:p>
        </w:tc>
        <w:tc>
          <w:tcPr>
            <w:tcW w:w="1749" w:type="dxa"/>
            <w:shd w:val="clear" w:color="auto" w:fill="auto"/>
            <w:vAlign w:val="center"/>
          </w:tcPr>
          <w:p>
            <w:pPr>
              <w:jc w:val="right"/>
            </w:pPr>
            <w:r>
              <w:t>16.76</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0.44</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41,781,021.49</w:t>
            </w:r>
          </w:p>
        </w:tc>
        <w:tc>
          <w:tcPr>
            <w:tcW w:w="1749" w:type="dxa"/>
            <w:shd w:val="clear" w:color="auto" w:fill="auto"/>
          </w:tcPr>
          <w:p>
            <w:pPr>
              <w:jc w:val="right"/>
            </w:pPr>
            <w:r>
              <w:t>100.00</w:t>
            </w:r>
          </w:p>
        </w:tc>
        <w:tc>
          <w:tcPr>
            <w:tcW w:w="1653" w:type="dxa"/>
          </w:tcPr>
          <w:p>
            <w:pPr>
              <w:jc w:val="right"/>
            </w:pPr>
            <w:r>
              <w:t>7,007,684.55</w:t>
            </w:r>
          </w:p>
        </w:tc>
        <w:tc>
          <w:tcPr>
            <w:tcW w:w="1705" w:type="dxa"/>
          </w:tcPr>
          <w:p>
            <w:pPr>
              <w:jc w:val="right"/>
            </w:pPr>
            <w:r>
              <w:t>16.77</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7.60%；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中信证券湘稳1号集合资产管理计划</w:t>
            </w:r>
          </w:p>
        </w:tc>
        <w:tc>
          <w:tcPr>
            <w:tcW w:w="2693" w:type="dxa"/>
            <w:shd w:val="clear" w:color="auto" w:fill="auto"/>
            <w:vAlign w:val="center"/>
          </w:tcPr>
          <w:p>
            <w:pPr>
              <w:jc w:val="right"/>
            </w:pPr>
            <w:r>
              <w:t>7,003,369.77</w:t>
            </w:r>
          </w:p>
        </w:tc>
        <w:tc>
          <w:tcPr>
            <w:tcW w:w="2431" w:type="dxa"/>
            <w:shd w:val="clear" w:color="auto" w:fill="auto"/>
            <w:vAlign w:val="center"/>
          </w:tcPr>
          <w:p>
            <w:pPr>
              <w:jc w:val="right"/>
            </w:pPr>
            <w:r>
              <w:t>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23望城经开01</w:t>
            </w:r>
          </w:p>
        </w:tc>
        <w:tc>
          <w:tcPr>
            <w:tcW w:w="2693" w:type="dxa"/>
            <w:shd w:val="clear" w:color="auto" w:fill="auto"/>
            <w:vAlign w:val="center"/>
          </w:tcPr>
          <w:p>
            <w:pPr>
              <w:ind w:hanging="1"/>
              <w:jc w:val="right"/>
            </w:pPr>
            <w:r>
              <w:rPr>
                <w:b w:val="0"/>
                <w:i w:val="0"/>
                <w:strike w:val="0"/>
                <w:u w:val="none"/>
              </w:rPr>
              <w:t>3,947,828.03</w:t>
            </w:r>
          </w:p>
        </w:tc>
        <w:tc>
          <w:tcPr>
            <w:tcW w:w="2431" w:type="dxa"/>
            <w:shd w:val="clear" w:color="auto" w:fill="auto"/>
            <w:vAlign w:val="center"/>
          </w:tcPr>
          <w:p>
            <w:pPr>
              <w:ind w:hanging="1"/>
              <w:jc w:val="right"/>
            </w:pPr>
            <w:r>
              <w:rPr>
                <w:b w:val="0"/>
                <w:i w:val="0"/>
                <w:strike w:val="0"/>
                <w:u w:val="none"/>
              </w:rP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20宁经开</w:t>
            </w:r>
          </w:p>
        </w:tc>
        <w:tc>
          <w:tcPr>
            <w:tcW w:w="2693" w:type="dxa"/>
            <w:shd w:val="clear" w:color="auto" w:fill="auto"/>
            <w:vAlign w:val="center"/>
          </w:tcPr>
          <w:p>
            <w:pPr>
              <w:ind w:hanging="1"/>
              <w:jc w:val="right"/>
            </w:pPr>
            <w:r>
              <w:rPr>
                <w:b w:val="0"/>
                <w:i w:val="0"/>
                <w:strike w:val="0"/>
                <w:u w:val="none"/>
              </w:rPr>
              <w:t>3,894,312.88</w:t>
            </w:r>
          </w:p>
        </w:tc>
        <w:tc>
          <w:tcPr>
            <w:tcW w:w="2431" w:type="dxa"/>
            <w:shd w:val="clear" w:color="auto" w:fill="auto"/>
            <w:vAlign w:val="center"/>
          </w:tcPr>
          <w:p>
            <w:pPr>
              <w:ind w:hanging="1"/>
              <w:jc w:val="right"/>
            </w:pPr>
            <w:r>
              <w:rPr>
                <w:b w:val="0"/>
                <w:i w:val="0"/>
                <w:strike w:val="0"/>
                <w:u w:val="none"/>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24永州经投MTN001</w:t>
            </w:r>
          </w:p>
        </w:tc>
        <w:tc>
          <w:tcPr>
            <w:tcW w:w="2693" w:type="dxa"/>
            <w:shd w:val="clear" w:color="auto" w:fill="auto"/>
            <w:vAlign w:val="center"/>
          </w:tcPr>
          <w:p>
            <w:pPr>
              <w:ind w:hanging="1"/>
              <w:jc w:val="right"/>
            </w:pPr>
            <w:r>
              <w:rPr>
                <w:b w:val="0"/>
                <w:i w:val="0"/>
                <w:strike w:val="0"/>
                <w:u w:val="none"/>
              </w:rPr>
              <w:t>3,562,769.86</w:t>
            </w:r>
          </w:p>
        </w:tc>
        <w:tc>
          <w:tcPr>
            <w:tcW w:w="2431" w:type="dxa"/>
            <w:shd w:val="clear" w:color="auto" w:fill="auto"/>
            <w:vAlign w:val="center"/>
          </w:tcPr>
          <w:p>
            <w:pPr>
              <w:ind w:hanging="1"/>
              <w:jc w:val="right"/>
            </w:pPr>
            <w:r>
              <w:rPr>
                <w:b w:val="0"/>
                <w:i w:val="0"/>
                <w:strike w:val="0"/>
                <w:u w:val="none"/>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3,517,276.71</w:t>
            </w:r>
          </w:p>
        </w:tc>
        <w:tc>
          <w:tcPr>
            <w:tcW w:w="2431" w:type="dxa"/>
            <w:shd w:val="clear" w:color="auto" w:fill="auto"/>
            <w:vAlign w:val="center"/>
          </w:tcPr>
          <w:p>
            <w:pPr>
              <w:ind w:hanging="1"/>
              <w:jc w:val="right"/>
            </w:pPr>
            <w:r>
              <w:rPr>
                <w:b w:val="0"/>
                <w:i w:val="0"/>
                <w:strike w:val="0"/>
                <w:u w:val="none"/>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3,361,981.37</w:t>
            </w:r>
          </w:p>
        </w:tc>
        <w:tc>
          <w:tcPr>
            <w:tcW w:w="2431" w:type="dxa"/>
            <w:shd w:val="clear" w:color="auto" w:fill="auto"/>
            <w:vAlign w:val="center"/>
          </w:tcPr>
          <w:p>
            <w:pPr>
              <w:ind w:hanging="1"/>
              <w:jc w:val="right"/>
            </w:pPr>
            <w:r>
              <w:rPr>
                <w:b w:val="0"/>
                <w:i w:val="0"/>
                <w:strike w:val="0"/>
                <w:u w:val="none"/>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23潇湘01</w:t>
            </w:r>
          </w:p>
        </w:tc>
        <w:tc>
          <w:tcPr>
            <w:tcW w:w="2693" w:type="dxa"/>
            <w:shd w:val="clear" w:color="auto" w:fill="auto"/>
            <w:vAlign w:val="center"/>
          </w:tcPr>
          <w:p>
            <w:pPr>
              <w:ind w:hanging="1"/>
              <w:jc w:val="right"/>
            </w:pPr>
            <w:r>
              <w:rPr>
                <w:b w:val="0"/>
                <w:i w:val="0"/>
                <w:strike w:val="0"/>
                <w:u w:val="none"/>
              </w:rPr>
              <w:t>3,284,929.86</w:t>
            </w:r>
          </w:p>
        </w:tc>
        <w:tc>
          <w:tcPr>
            <w:tcW w:w="2431" w:type="dxa"/>
            <w:shd w:val="clear" w:color="auto" w:fill="auto"/>
            <w:vAlign w:val="center"/>
          </w:tcPr>
          <w:p>
            <w:pPr>
              <w:ind w:hanging="1"/>
              <w:jc w:val="right"/>
            </w:pPr>
            <w:r>
              <w:rPr>
                <w:b w:val="0"/>
                <w:i w:val="0"/>
                <w:strike w:val="0"/>
                <w:u w:val="none"/>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25华润银行永续债01</w:t>
            </w:r>
          </w:p>
        </w:tc>
        <w:tc>
          <w:tcPr>
            <w:tcW w:w="2693" w:type="dxa"/>
            <w:shd w:val="clear" w:color="auto" w:fill="auto"/>
            <w:vAlign w:val="center"/>
          </w:tcPr>
          <w:p>
            <w:pPr>
              <w:ind w:hanging="1"/>
              <w:jc w:val="right"/>
            </w:pPr>
            <w:r>
              <w:rPr>
                <w:b w:val="0"/>
                <w:i w:val="0"/>
                <w:strike w:val="0"/>
                <w:u w:val="none"/>
              </w:rPr>
              <w:t>2,621,758.08</w:t>
            </w:r>
          </w:p>
        </w:tc>
        <w:tc>
          <w:tcPr>
            <w:tcW w:w="2431" w:type="dxa"/>
            <w:shd w:val="clear" w:color="auto" w:fill="auto"/>
            <w:vAlign w:val="center"/>
          </w:tcPr>
          <w:p>
            <w:pPr>
              <w:ind w:hanging="1"/>
              <w:jc w:val="right"/>
            </w:pPr>
            <w:r>
              <w:rPr>
                <w:b w:val="0"/>
                <w:i w:val="0"/>
                <w:strike w:val="0"/>
                <w:u w:val="none"/>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2,537,085.62</w:t>
            </w:r>
          </w:p>
        </w:tc>
        <w:tc>
          <w:tcPr>
            <w:tcW w:w="2431" w:type="dxa"/>
            <w:shd w:val="clear" w:color="auto" w:fill="auto"/>
            <w:vAlign w:val="center"/>
          </w:tcPr>
          <w:p>
            <w:pPr>
              <w:ind w:hanging="1"/>
              <w:jc w:val="right"/>
            </w:pPr>
            <w:r>
              <w:rPr>
                <w:b w:val="0"/>
                <w:i w:val="0"/>
                <w:strike w:val="0"/>
                <w:u w:val="none"/>
              </w:rPr>
              <w:t>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20邵东债</w:t>
            </w:r>
          </w:p>
        </w:tc>
        <w:tc>
          <w:tcPr>
            <w:tcW w:w="2693" w:type="dxa"/>
            <w:shd w:val="clear" w:color="auto" w:fill="auto"/>
            <w:vAlign w:val="center"/>
          </w:tcPr>
          <w:p>
            <w:pPr>
              <w:ind w:hanging="1"/>
              <w:jc w:val="right"/>
            </w:pPr>
            <w:r>
              <w:rPr>
                <w:b w:val="0"/>
                <w:i w:val="0"/>
                <w:strike w:val="0"/>
                <w:u w:val="none"/>
              </w:rPr>
              <w:t>1,733,500.27</w:t>
            </w:r>
          </w:p>
        </w:tc>
        <w:tc>
          <w:tcPr>
            <w:tcW w:w="2431" w:type="dxa"/>
            <w:shd w:val="clear" w:color="auto" w:fill="auto"/>
            <w:vAlign w:val="center"/>
          </w:tcPr>
          <w:p>
            <w:pPr>
              <w:ind w:hanging="1"/>
              <w:jc w:val="right"/>
            </w:pPr>
            <w:r>
              <w:rPr>
                <w:b w:val="0"/>
                <w:i w:val="0"/>
                <w:strike w:val="0"/>
                <w:u w:val="none"/>
              </w:rPr>
              <w:t>4.18</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0" w:colLast="0"/>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23望城经开01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3,947,828.03</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9.51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20宁经开</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3,894,312.88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9.38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24永州经投MTN001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3,562,769.86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8.59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3,517,276.71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3,361,981.37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8.10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23潇湘01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3,284,929.86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2,848,865.01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6.86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25华润银行永续债01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2,621,758.08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6.32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2,537,085.62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6.11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20邵东债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1,733,500.27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4.18</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731903861410520</w:t>
            </w:r>
          </w:p>
        </w:tc>
        <w:tc>
          <w:tcPr>
            <w:tcW w:w="2693" w:type="dxa"/>
            <w:shd w:val="clear" w:color="auto" w:fill="auto"/>
            <w:vAlign w:val="center"/>
          </w:tcPr>
          <w:p>
            <w:pPr>
              <w:spacing w:before="100" w:beforeAutospacing="1" w:after="100" w:afterAutospacing="1"/>
            </w:pPr>
            <w:r>
              <w:t>湖南银行股份有限公司-融智理财添利系列-D540-15理财产品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7880763"/>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2026-01-23T03:27:30Z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