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融智理财添利系列年开5号理财产品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融智理财添利系列年开5号理财产品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49,185,000.00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16.44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494,226.53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233,519.79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49,492,228.35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49,492,228.35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1.1644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44,381,099.67</w:t>
            </w:r>
          </w:p>
        </w:tc>
        <w:tc>
          <w:tcPr>
            <w:tcW w:w="1749" w:type="dxa"/>
            <w:shd w:val="clear" w:color="auto" w:fill="auto"/>
            <w:vAlign w:val="center"/>
          </w:tcPr>
          <w:p>
            <w:pPr>
              <w:jc w:val="right"/>
            </w:pPr>
            <w:r>
              <w:t>89.40</w:t>
            </w:r>
          </w:p>
        </w:tc>
        <w:tc>
          <w:tcPr>
            <w:tcW w:w="1653" w:type="dxa"/>
            <w:vAlign w:val="center"/>
          </w:tcPr>
          <w:p>
            <w:pPr>
              <w:jc w:val="right"/>
            </w:pPr>
            <w:r>
              <w:t>4,362,345.20</w:t>
            </w:r>
          </w:p>
        </w:tc>
        <w:tc>
          <w:tcPr>
            <w:tcW w:w="1705" w:type="dxa"/>
            <w:vAlign w:val="center"/>
          </w:tcPr>
          <w:p>
            <w:pPr>
              <w:jc w:val="right"/>
            </w:pPr>
            <w: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44,381,099.67</w:t>
            </w:r>
          </w:p>
        </w:tc>
        <w:tc>
          <w:tcPr>
            <w:tcW w:w="1749" w:type="dxa"/>
            <w:shd w:val="clear" w:color="auto" w:fill="auto"/>
            <w:vAlign w:val="center"/>
          </w:tcPr>
          <w:p>
            <w:pPr>
              <w:jc w:val="right"/>
            </w:pPr>
            <w:r>
              <w:t>89.40</w:t>
            </w:r>
          </w:p>
        </w:tc>
        <w:tc>
          <w:tcPr>
            <w:tcW w:w="1653" w:type="dxa"/>
            <w:vAlign w:val="center"/>
          </w:tcPr>
          <w:p>
            <w:pPr>
              <w:jc w:val="right"/>
            </w:pPr>
            <w:r>
              <w:t>4,362,345.20</w:t>
            </w:r>
          </w:p>
        </w:tc>
        <w:tc>
          <w:tcPr>
            <w:tcW w:w="1705" w:type="dxa"/>
            <w:vAlign w:val="center"/>
          </w:tcPr>
          <w:p>
            <w:pPr>
              <w:jc w:val="right"/>
            </w:pPr>
            <w: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742,271.15</w:t>
            </w:r>
          </w:p>
        </w:tc>
        <w:tc>
          <w:tcPr>
            <w:tcW w:w="1749" w:type="dxa"/>
            <w:shd w:val="clear" w:color="auto" w:fill="auto"/>
            <w:vAlign w:val="center"/>
          </w:tcPr>
          <w:p>
            <w:pPr>
              <w:jc w:val="right"/>
            </w:pPr>
            <w:r>
              <w:t>1.50</w:t>
            </w:r>
          </w:p>
        </w:tc>
        <w:tc>
          <w:tcPr>
            <w:tcW w:w="1653" w:type="dxa"/>
            <w:vAlign w:val="center"/>
          </w:tcPr>
          <w:p>
            <w:pPr>
              <w:jc w:val="right"/>
            </w:pPr>
            <w:r>
              <w:t>63,427.69</w:t>
            </w:r>
          </w:p>
        </w:tc>
        <w:tc>
          <w:tcPr>
            <w:tcW w:w="1705" w:type="dxa"/>
            <w:vAlign w:val="center"/>
          </w:tcPr>
          <w:p>
            <w:pPr>
              <w:jc w:val="right"/>
            </w:pPr>
            <w: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4,518,806.74</w:t>
            </w:r>
          </w:p>
        </w:tc>
        <w:tc>
          <w:tcPr>
            <w:tcW w:w="1749" w:type="dxa"/>
            <w:shd w:val="clear" w:color="auto" w:fill="auto"/>
            <w:vAlign w:val="center"/>
          </w:tcPr>
          <w:p>
            <w:pPr>
              <w:jc w:val="right"/>
            </w:pPr>
            <w:r>
              <w:t>9.10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0.19</w:t>
            </w:r>
          </w:p>
        </w:tc>
        <w:tc>
          <w:tcPr>
            <w:tcW w:w="1749" w:type="dxa"/>
            <w:shd w:val="clear" w:color="auto" w:fill="auto"/>
            <w:vAlign w:val="center"/>
          </w:tcPr>
          <w:p>
            <w:pPr>
              <w:jc w:val="right"/>
            </w:pPr>
            <w:r>
              <w:t>0.00</w:t>
            </w:r>
          </w:p>
        </w:tc>
        <w:tc>
          <w:tcPr>
            <w:tcW w:w="1653" w:type="dxa"/>
            <w:vAlign w:val="center"/>
          </w:tcPr>
          <w:p>
            <w:pPr>
              <w:jc w:val="right"/>
            </w:pPr>
            <w:r>
              <w:t>95,259.99</w:t>
            </w:r>
          </w:p>
        </w:tc>
        <w:tc>
          <w:tcPr>
            <w:tcW w:w="1705" w:type="dxa"/>
            <w:vAlign w:val="center"/>
          </w:tcPr>
          <w:p>
            <w:pPr>
              <w:jc w:val="right"/>
            </w:pPr>
            <w: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49,642,177.75</w:t>
            </w:r>
          </w:p>
        </w:tc>
        <w:tc>
          <w:tcPr>
            <w:tcW w:w="1749" w:type="dxa"/>
            <w:shd w:val="clear" w:color="auto" w:fill="auto"/>
          </w:tcPr>
          <w:p>
            <w:pPr>
              <w:jc w:val="right"/>
            </w:pPr>
            <w:r>
              <w:t>100.00</w:t>
            </w:r>
          </w:p>
        </w:tc>
        <w:tc>
          <w:tcPr>
            <w:tcW w:w="1653" w:type="dxa"/>
          </w:tcPr>
          <w:p>
            <w:pPr>
              <w:jc w:val="right"/>
            </w:pPr>
            <w:r>
              <w:t>4,521,032.88</w:t>
            </w:r>
          </w:p>
        </w:tc>
        <w:tc>
          <w:tcPr>
            <w:tcW w:w="1705" w:type="dxa"/>
          </w:tcPr>
          <w:p>
            <w:pPr>
              <w:jc w:val="right"/>
            </w:pPr>
            <w:r>
              <w:t>9.11</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7.04%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23潇湘01</w:t>
            </w:r>
          </w:p>
        </w:tc>
        <w:tc>
          <w:tcPr>
            <w:tcW w:w="2693" w:type="dxa"/>
            <w:shd w:val="clear" w:color="auto" w:fill="auto"/>
            <w:vAlign w:val="center"/>
          </w:tcPr>
          <w:p>
            <w:pPr>
              <w:jc w:val="right"/>
            </w:pPr>
            <w:r>
              <w:t>4,556,515.62</w:t>
            </w:r>
          </w:p>
        </w:tc>
        <w:tc>
          <w:tcPr>
            <w:tcW w:w="2431" w:type="dxa"/>
            <w:shd w:val="clear" w:color="auto" w:fill="auto"/>
            <w:vAlign w:val="center"/>
          </w:tcPr>
          <w:p>
            <w:pPr>
              <w:jc w:val="right"/>
            </w:pPr>
            <w: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4,545,742.47</w:t>
            </w:r>
          </w:p>
        </w:tc>
        <w:tc>
          <w:tcPr>
            <w:tcW w:w="2431" w:type="dxa"/>
            <w:shd w:val="clear" w:color="auto" w:fill="auto"/>
            <w:vAlign w:val="center"/>
          </w:tcPr>
          <w:p>
            <w:pPr>
              <w:ind w:hanging="1"/>
              <w:jc w:val="right"/>
            </w:pPr>
            <w:r>
              <w:rPr>
                <w:b w:val="0"/>
                <w:i w:val="0"/>
                <w:strike w:val="0"/>
                <w:u w:val="none"/>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4,536,606.03</w:t>
            </w:r>
          </w:p>
        </w:tc>
        <w:tc>
          <w:tcPr>
            <w:tcW w:w="2431" w:type="dxa"/>
            <w:shd w:val="clear" w:color="auto" w:fill="auto"/>
            <w:vAlign w:val="center"/>
          </w:tcPr>
          <w:p>
            <w:pPr>
              <w:ind w:hanging="1"/>
              <w:jc w:val="right"/>
            </w:pPr>
            <w:r>
              <w:rPr>
                <w:b w:val="0"/>
                <w:i w:val="0"/>
                <w:strike w:val="0"/>
                <w:u w:val="none"/>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4,518,806.74</w:t>
            </w:r>
          </w:p>
        </w:tc>
        <w:tc>
          <w:tcPr>
            <w:tcW w:w="2431" w:type="dxa"/>
            <w:shd w:val="clear" w:color="auto" w:fill="auto"/>
            <w:vAlign w:val="center"/>
          </w:tcPr>
          <w:p>
            <w:pPr>
              <w:ind w:hanging="1"/>
              <w:jc w:val="right"/>
            </w:pPr>
            <w:r>
              <w:rPr>
                <w:b w:val="0"/>
                <w:i w:val="0"/>
                <w:strike w:val="0"/>
                <w:u w:val="none"/>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4,517,662.47</w:t>
            </w:r>
          </w:p>
        </w:tc>
        <w:tc>
          <w:tcPr>
            <w:tcW w:w="2431" w:type="dxa"/>
            <w:shd w:val="clear" w:color="auto" w:fill="auto"/>
            <w:vAlign w:val="center"/>
          </w:tcPr>
          <w:p>
            <w:pPr>
              <w:ind w:hanging="1"/>
              <w:jc w:val="right"/>
            </w:pPr>
            <w:r>
              <w:rPr>
                <w:b w:val="0"/>
                <w:i w:val="0"/>
                <w:strike w:val="0"/>
                <w:u w:val="none"/>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4,382,740.27</w:t>
            </w:r>
          </w:p>
        </w:tc>
        <w:tc>
          <w:tcPr>
            <w:tcW w:w="2431" w:type="dxa"/>
            <w:shd w:val="clear" w:color="auto" w:fill="auto"/>
            <w:vAlign w:val="center"/>
          </w:tcPr>
          <w:p>
            <w:pPr>
              <w:ind w:hanging="1"/>
              <w:jc w:val="right"/>
            </w:pPr>
            <w:r>
              <w:rPr>
                <w:b w:val="0"/>
                <w:i w:val="0"/>
                <w:strike w:val="0"/>
                <w:u w:val="none"/>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3,682,190.82</w:t>
            </w:r>
          </w:p>
        </w:tc>
        <w:tc>
          <w:tcPr>
            <w:tcW w:w="2431" w:type="dxa"/>
            <w:shd w:val="clear" w:color="auto" w:fill="auto"/>
            <w:vAlign w:val="center"/>
          </w:tcPr>
          <w:p>
            <w:pPr>
              <w:ind w:hanging="1"/>
              <w:jc w:val="right"/>
            </w:pPr>
            <w:r>
              <w:rPr>
                <w:b w:val="0"/>
                <w:i w:val="0"/>
                <w:strike w:val="0"/>
                <w:u w:val="none"/>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3,257,812.16</w:t>
            </w:r>
          </w:p>
        </w:tc>
        <w:tc>
          <w:tcPr>
            <w:tcW w:w="2431" w:type="dxa"/>
            <w:shd w:val="clear" w:color="auto" w:fill="auto"/>
            <w:vAlign w:val="center"/>
          </w:tcPr>
          <w:p>
            <w:pPr>
              <w:ind w:hanging="1"/>
              <w:jc w:val="right"/>
            </w:pPr>
            <w:r>
              <w:rPr>
                <w:b w:val="0"/>
                <w:i w:val="0"/>
                <w:strike w:val="0"/>
                <w:u w:val="none"/>
              </w:rPr>
              <w:t>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3,250,313.01</w:t>
            </w:r>
          </w:p>
        </w:tc>
        <w:tc>
          <w:tcPr>
            <w:tcW w:w="2431" w:type="dxa"/>
            <w:shd w:val="clear" w:color="auto" w:fill="auto"/>
            <w:vAlign w:val="center"/>
          </w:tcPr>
          <w:p>
            <w:pPr>
              <w:ind w:hanging="1"/>
              <w:jc w:val="right"/>
            </w:pPr>
            <w:r>
              <w:rPr>
                <w:b w:val="0"/>
                <w:i w:val="0"/>
                <w:strike w:val="0"/>
                <w:u w:val="none"/>
              </w:rP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2,943,908.55</w:t>
            </w:r>
          </w:p>
        </w:tc>
        <w:tc>
          <w:tcPr>
            <w:tcW w:w="2431" w:type="dxa"/>
            <w:shd w:val="clear" w:color="auto" w:fill="auto"/>
            <w:vAlign w:val="center"/>
          </w:tcPr>
          <w:p>
            <w:pPr>
              <w:ind w:hanging="1"/>
              <w:jc w:val="right"/>
            </w:pPr>
            <w:r>
              <w:rPr>
                <w:b w:val="0"/>
                <w:i w:val="0"/>
                <w:strike w:val="0"/>
                <w:u w:val="none"/>
              </w:rPr>
              <w:t>5.95</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23潇湘01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4,556,515.62</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9.21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4,545,742.47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4,536,606.03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4,517,662.47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4,382,740.27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3,682,190.82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3,257,812.16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3,250,313.01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PR龙岭债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2,943,908.55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2,740,052.47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5.54</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731903861410936</w:t>
            </w:r>
          </w:p>
        </w:tc>
        <w:tc>
          <w:tcPr>
            <w:tcW w:w="2693" w:type="dxa"/>
            <w:shd w:val="clear" w:color="auto" w:fill="auto"/>
            <w:vAlign w:val="center"/>
          </w:tcPr>
          <w:p>
            <w:pPr>
              <w:spacing w:before="100" w:beforeAutospacing="1" w:after="100" w:afterAutospacing="1"/>
            </w:pPr>
            <w:r>
              <w:t>湖南银行股份有限公司-融智理财添利系列年开5号理财产品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0813D68"/>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2026-01-23T03:26:30Z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