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融智理财添利系列年开11号理财产品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融智理财添利系列年开11号理财产品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C1136022000015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2022-02-25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124,770,000.00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100.48%</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4"/>
            <w:bookmarkEnd w:id="0"/>
            <w:bookmarkStart w:id="1" w:name="OLE_LINK7"/>
            <w:bookmarkEnd w:id="1"/>
            <w:r>
              <w:t>14.87</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685,904.93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646,018.33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126,860,315.43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126,860,315.43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1.1487</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80,399,671.73</w:t>
            </w:r>
          </w:p>
        </w:tc>
        <w:tc>
          <w:tcPr>
            <w:tcW w:w="1749" w:type="dxa"/>
            <w:shd w:val="clear" w:color="auto" w:fill="auto"/>
            <w:vAlign w:val="center"/>
          </w:tcPr>
          <w:p>
            <w:pPr>
              <w:jc w:val="right"/>
            </w:pPr>
            <w:r>
              <w:t>63.07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80,399,671.73</w:t>
            </w:r>
          </w:p>
        </w:tc>
        <w:tc>
          <w:tcPr>
            <w:tcW w:w="1749" w:type="dxa"/>
            <w:shd w:val="clear" w:color="auto" w:fill="auto"/>
            <w:vAlign w:val="center"/>
          </w:tcPr>
          <w:p>
            <w:pPr>
              <w:jc w:val="right"/>
            </w:pPr>
            <w:r>
              <w:t>63.07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6,000,391.91</w:t>
            </w:r>
          </w:p>
        </w:tc>
        <w:tc>
          <w:tcPr>
            <w:tcW w:w="1749" w:type="dxa"/>
            <w:shd w:val="clear" w:color="auto" w:fill="auto"/>
            <w:vAlign w:val="center"/>
          </w:tcPr>
          <w:p>
            <w:pPr>
              <w:jc w:val="right"/>
            </w:pPr>
            <w:r>
              <w:t>4.71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247,009.25</w:t>
            </w:r>
          </w:p>
        </w:tc>
        <w:tc>
          <w:tcPr>
            <w:tcW w:w="1749" w:type="dxa"/>
            <w:shd w:val="clear" w:color="auto" w:fill="auto"/>
            <w:vAlign w:val="center"/>
          </w:tcPr>
          <w:p>
            <w:pPr>
              <w:jc w:val="right"/>
            </w:pPr>
            <w:r>
              <w:t>0.19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40,821,488.03</w:t>
            </w:r>
          </w:p>
        </w:tc>
        <w:tc>
          <w:tcPr>
            <w:tcW w:w="1749" w:type="dxa"/>
            <w:shd w:val="clear" w:color="auto" w:fill="auto"/>
            <w:vAlign w:val="center"/>
          </w:tcPr>
          <w:p>
            <w:pPr>
              <w:jc w:val="right"/>
            </w:pPr>
            <w:r>
              <w:t>32.02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127,468,560.92</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5.75%；直接或间接持有的非标准化债权资产占比32.18%，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NK11-湖南银行贵阳贵银金租20250409</w:t>
            </w:r>
          </w:p>
        </w:tc>
        <w:tc>
          <w:tcPr>
            <w:tcW w:w="2693" w:type="dxa"/>
            <w:shd w:val="clear" w:color="auto" w:fill="auto"/>
            <w:vAlign w:val="center"/>
          </w:tcPr>
          <w:p>
            <w:pPr>
              <w:jc w:val="right"/>
            </w:pPr>
            <w:r>
              <w:t>40,821,479.77</w:t>
            </w:r>
          </w:p>
        </w:tc>
        <w:tc>
          <w:tcPr>
            <w:tcW w:w="2431" w:type="dxa"/>
            <w:shd w:val="clear" w:color="auto" w:fill="auto"/>
            <w:vAlign w:val="center"/>
          </w:tcPr>
          <w:p>
            <w:pPr>
              <w:jc w:val="right"/>
            </w:pPr>
            <w:r>
              <w:t>32.18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21岳阳交投01</w:t>
            </w:r>
          </w:p>
        </w:tc>
        <w:tc>
          <w:tcPr>
            <w:tcW w:w="2693" w:type="dxa"/>
            <w:shd w:val="clear" w:color="auto" w:fill="auto"/>
            <w:vAlign w:val="center"/>
          </w:tcPr>
          <w:p>
            <w:pPr>
              <w:ind w:hanging="1"/>
              <w:jc w:val="right"/>
            </w:pPr>
            <w:r>
              <w:rPr>
                <w:b w:val="0"/>
                <w:i w:val="0"/>
                <w:strike w:val="0"/>
                <w:u w:val="none"/>
              </w:rPr>
              <w:t>11,619,657.42</w:t>
            </w:r>
          </w:p>
        </w:tc>
        <w:tc>
          <w:tcPr>
            <w:tcW w:w="2431" w:type="dxa"/>
            <w:shd w:val="clear" w:color="auto" w:fill="auto"/>
            <w:vAlign w:val="center"/>
          </w:tcPr>
          <w:p>
            <w:pPr>
              <w:ind w:hanging="1"/>
              <w:jc w:val="right"/>
            </w:pPr>
            <w:r>
              <w:rPr>
                <w:b w:val="0"/>
                <w:i w:val="0"/>
                <w:strike w:val="0"/>
                <w:u w:val="none"/>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11,061,201.64</w:t>
            </w:r>
          </w:p>
        </w:tc>
        <w:tc>
          <w:tcPr>
            <w:tcW w:w="2431" w:type="dxa"/>
            <w:shd w:val="clear" w:color="auto" w:fill="auto"/>
            <w:vAlign w:val="center"/>
          </w:tcPr>
          <w:p>
            <w:pPr>
              <w:ind w:hanging="1"/>
              <w:jc w:val="right"/>
            </w:pPr>
            <w:r>
              <w:rPr>
                <w:b w:val="0"/>
                <w:i w:val="0"/>
                <w:strike w:val="0"/>
                <w:u w:val="none"/>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23衡高K1</w:t>
            </w:r>
          </w:p>
        </w:tc>
        <w:tc>
          <w:tcPr>
            <w:tcW w:w="2693" w:type="dxa"/>
            <w:shd w:val="clear" w:color="auto" w:fill="auto"/>
            <w:vAlign w:val="center"/>
          </w:tcPr>
          <w:p>
            <w:pPr>
              <w:ind w:hanging="1"/>
              <w:jc w:val="right"/>
            </w:pPr>
            <w:r>
              <w:rPr>
                <w:b w:val="0"/>
                <w:i w:val="0"/>
                <w:strike w:val="0"/>
                <w:u w:val="none"/>
              </w:rPr>
              <w:t>10,863,038.22</w:t>
            </w:r>
          </w:p>
        </w:tc>
        <w:tc>
          <w:tcPr>
            <w:tcW w:w="2431" w:type="dxa"/>
            <w:shd w:val="clear" w:color="auto" w:fill="auto"/>
            <w:vAlign w:val="center"/>
          </w:tcPr>
          <w:p>
            <w:pPr>
              <w:ind w:hanging="1"/>
              <w:jc w:val="right"/>
            </w:pPr>
            <w:r>
              <w:rPr>
                <w:b w:val="0"/>
                <w:i w:val="0"/>
                <w:strike w:val="0"/>
                <w:u w:val="none"/>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24豫航空港PPN001</w:t>
            </w:r>
          </w:p>
        </w:tc>
        <w:tc>
          <w:tcPr>
            <w:tcW w:w="2693" w:type="dxa"/>
            <w:shd w:val="clear" w:color="auto" w:fill="auto"/>
            <w:vAlign w:val="center"/>
          </w:tcPr>
          <w:p>
            <w:pPr>
              <w:ind w:hanging="1"/>
              <w:jc w:val="right"/>
            </w:pPr>
            <w:r>
              <w:rPr>
                <w:b w:val="0"/>
                <w:i w:val="0"/>
                <w:strike w:val="0"/>
                <w:u w:val="none"/>
              </w:rPr>
              <w:t>9,443,724.66</w:t>
            </w:r>
          </w:p>
        </w:tc>
        <w:tc>
          <w:tcPr>
            <w:tcW w:w="2431" w:type="dxa"/>
            <w:shd w:val="clear" w:color="auto" w:fill="auto"/>
            <w:vAlign w:val="center"/>
          </w:tcPr>
          <w:p>
            <w:pPr>
              <w:ind w:hanging="1"/>
              <w:jc w:val="right"/>
            </w:pPr>
            <w:r>
              <w:rPr>
                <w:b w:val="0"/>
                <w:i w:val="0"/>
                <w:strike w:val="0"/>
                <w:u w:val="none"/>
              </w:rPr>
              <w:t>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7,044,550.68</w:t>
            </w:r>
          </w:p>
        </w:tc>
        <w:tc>
          <w:tcPr>
            <w:tcW w:w="2431" w:type="dxa"/>
            <w:shd w:val="clear" w:color="auto" w:fill="auto"/>
            <w:vAlign w:val="center"/>
          </w:tcPr>
          <w:p>
            <w:pPr>
              <w:ind w:hanging="1"/>
              <w:jc w:val="right"/>
            </w:pPr>
            <w:r>
              <w:rPr>
                <w:b w:val="0"/>
                <w:i w:val="0"/>
                <w:strike w:val="0"/>
                <w:u w:val="none"/>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R005</w:t>
            </w:r>
          </w:p>
        </w:tc>
        <w:tc>
          <w:tcPr>
            <w:tcW w:w="2693" w:type="dxa"/>
            <w:shd w:val="clear" w:color="auto" w:fill="auto"/>
            <w:vAlign w:val="center"/>
          </w:tcPr>
          <w:p>
            <w:pPr>
              <w:ind w:hanging="1"/>
              <w:jc w:val="right"/>
            </w:pPr>
            <w:r>
              <w:rPr>
                <w:b w:val="0"/>
                <w:i w:val="0"/>
                <w:strike w:val="0"/>
                <w:u w:val="none"/>
              </w:rPr>
              <w:t>6,000,391.91</w:t>
            </w:r>
          </w:p>
        </w:tc>
        <w:tc>
          <w:tcPr>
            <w:tcW w:w="2431" w:type="dxa"/>
            <w:shd w:val="clear" w:color="auto" w:fill="auto"/>
            <w:vAlign w:val="center"/>
          </w:tcPr>
          <w:p>
            <w:pPr>
              <w:ind w:hanging="1"/>
              <w:jc w:val="right"/>
            </w:pPr>
            <w:r>
              <w:rPr>
                <w:b w:val="0"/>
                <w:i w:val="0"/>
                <w:strike w:val="0"/>
                <w:u w:val="none"/>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21攸州国投01</w:t>
            </w:r>
          </w:p>
        </w:tc>
        <w:tc>
          <w:tcPr>
            <w:tcW w:w="2693" w:type="dxa"/>
            <w:shd w:val="clear" w:color="auto" w:fill="auto"/>
            <w:vAlign w:val="center"/>
          </w:tcPr>
          <w:p>
            <w:pPr>
              <w:ind w:hanging="1"/>
              <w:jc w:val="right"/>
            </w:pPr>
            <w:r>
              <w:rPr>
                <w:b w:val="0"/>
                <w:i w:val="0"/>
                <w:strike w:val="0"/>
                <w:u w:val="none"/>
              </w:rPr>
              <w:t>5,773,980.82</w:t>
            </w:r>
          </w:p>
        </w:tc>
        <w:tc>
          <w:tcPr>
            <w:tcW w:w="2431" w:type="dxa"/>
            <w:shd w:val="clear" w:color="auto" w:fill="auto"/>
            <w:vAlign w:val="center"/>
          </w:tcPr>
          <w:p>
            <w:pPr>
              <w:ind w:hanging="1"/>
              <w:jc w:val="right"/>
            </w:pPr>
            <w:r>
              <w:rPr>
                <w:b w:val="0"/>
                <w:i w:val="0"/>
                <w:strike w:val="0"/>
                <w:u w:val="none"/>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24郴新01</w:t>
            </w:r>
          </w:p>
        </w:tc>
        <w:tc>
          <w:tcPr>
            <w:tcW w:w="2693" w:type="dxa"/>
            <w:shd w:val="clear" w:color="auto" w:fill="auto"/>
            <w:vAlign w:val="center"/>
          </w:tcPr>
          <w:p>
            <w:pPr>
              <w:ind w:hanging="1"/>
              <w:jc w:val="right"/>
            </w:pPr>
            <w:r>
              <w:rPr>
                <w:b w:val="0"/>
                <w:i w:val="0"/>
                <w:strike w:val="0"/>
                <w:u w:val="none"/>
              </w:rPr>
              <w:t>5,486,128.22</w:t>
            </w:r>
          </w:p>
        </w:tc>
        <w:tc>
          <w:tcPr>
            <w:tcW w:w="2431" w:type="dxa"/>
            <w:shd w:val="clear" w:color="auto" w:fill="auto"/>
            <w:vAlign w:val="center"/>
          </w:tcPr>
          <w:p>
            <w:pPr>
              <w:ind w:hanging="1"/>
              <w:jc w:val="right"/>
            </w:pPr>
            <w:r>
              <w:rPr>
                <w:b w:val="0"/>
                <w:i w:val="0"/>
                <w:strike w:val="0"/>
                <w:u w:val="none"/>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19邵东债</w:t>
            </w:r>
          </w:p>
        </w:tc>
        <w:tc>
          <w:tcPr>
            <w:tcW w:w="2693" w:type="dxa"/>
            <w:shd w:val="clear" w:color="auto" w:fill="auto"/>
            <w:vAlign w:val="center"/>
          </w:tcPr>
          <w:p>
            <w:pPr>
              <w:ind w:hanging="1"/>
              <w:jc w:val="right"/>
            </w:pPr>
            <w:r>
              <w:rPr>
                <w:b w:val="0"/>
                <w:i w:val="0"/>
                <w:strike w:val="0"/>
                <w:u w:val="none"/>
              </w:rPr>
              <w:t>5,471,556.81</w:t>
            </w:r>
          </w:p>
        </w:tc>
        <w:tc>
          <w:tcPr>
            <w:tcW w:w="2431" w:type="dxa"/>
            <w:shd w:val="clear" w:color="auto" w:fill="auto"/>
            <w:vAlign w:val="center"/>
          </w:tcPr>
          <w:p>
            <w:pPr>
              <w:ind w:hanging="1"/>
              <w:jc w:val="right"/>
            </w:pPr>
            <w:r>
              <w:rPr>
                <w:b w:val="0"/>
                <w:i w:val="0"/>
                <w:strike w:val="0"/>
                <w:u w:val="none"/>
              </w:rPr>
              <w:t>4.31</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NK11-湖南银行贵阳贵银金租20250409</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40,821,479.77</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32.18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21岳阳交投01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11,619,657.42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11,061,201.64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23衡高K1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10,863,038.22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8.56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24豫航空港PPN001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9,443,724.66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7.44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7,044,550.68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R005</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6,000,391.91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21攸州国投01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5,773,980.82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24郴新01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5,486,128.22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19邵东债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5,471,556.81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4.31</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731903861410747</w:t>
            </w:r>
          </w:p>
        </w:tc>
        <w:tc>
          <w:tcPr>
            <w:tcW w:w="2693" w:type="dxa"/>
            <w:shd w:val="clear" w:color="auto" w:fill="auto"/>
            <w:vAlign w:val="center"/>
          </w:tcPr>
          <w:p>
            <w:pPr>
              <w:spacing w:before="100" w:beforeAutospacing="1" w:after="100" w:afterAutospacing="1"/>
            </w:pPr>
            <w:r>
              <w:t>湖南银行股份有限公司-融智理财添利系列年开11号理财产品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745" w:type="dxa"/>
            <w:shd w:val="clear" w:color="auto" w:fill="auto"/>
            <w:vAlign w:val="center"/>
          </w:tcPr>
          <w:p>
            <w:pPr>
              <w:spacing w:before="100" w:beforeAutospacing="1" w:after="100" w:afterAutospacing="1"/>
            </w:pPr>
            <w:r>
              <w:t>NK11-湖南银行贵阳贵银金租20250409</w:t>
            </w:r>
          </w:p>
        </w:tc>
        <w:tc>
          <w:tcPr>
            <w:tcW w:w="1336" w:type="dxa"/>
            <w:shd w:val="clear" w:color="auto" w:fill="auto"/>
            <w:vAlign w:val="center"/>
          </w:tcPr>
          <w:p>
            <w:pPr>
              <w:spacing w:before="100" w:beforeAutospacing="1" w:after="100" w:afterAutospacing="1"/>
            </w:pPr>
            <w:r>
              <w:t>贵阳贵银金融租赁有限责任公司</w:t>
            </w:r>
          </w:p>
        </w:tc>
        <w:tc>
          <w:tcPr>
            <w:tcW w:w="1295" w:type="dxa"/>
            <w:shd w:val="clear" w:color="auto" w:fill="auto"/>
            <w:vAlign w:val="center"/>
          </w:tcPr>
          <w:p>
            <w:pPr>
              <w:spacing w:before="100" w:beforeAutospacing="1" w:after="100" w:afterAutospacing="1"/>
            </w:pPr>
            <w:r>
              <w:t>55</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2.8</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D8348F5"/>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2026-01-23T03:29:53Z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