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融智理财添利系列年开2号理财产品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融智理财添利系列年开2号理财产品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102,521,000.00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100.36%</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17.49</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502,051.14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531,212.25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103,612,494.67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103,612,494.67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1.1749</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67,864,663.42</w:t>
            </w:r>
          </w:p>
        </w:tc>
        <w:tc>
          <w:tcPr>
            <w:tcW w:w="1749" w:type="dxa"/>
            <w:shd w:val="clear" w:color="auto" w:fill="auto"/>
            <w:vAlign w:val="center"/>
          </w:tcPr>
          <w:p>
            <w:pPr>
              <w:jc w:val="right"/>
            </w:pPr>
            <w:r>
              <w:t>65.26</w:t>
            </w:r>
          </w:p>
        </w:tc>
        <w:tc>
          <w:tcPr>
            <w:tcW w:w="1653" w:type="dxa"/>
            <w:vAlign w:val="center"/>
          </w:tcPr>
          <w:p>
            <w:pPr>
              <w:jc w:val="right"/>
            </w:pPr>
            <w:r>
              <w:t>10,916,916.73</w:t>
            </w:r>
          </w:p>
        </w:tc>
        <w:tc>
          <w:tcPr>
            <w:tcW w:w="1705" w:type="dxa"/>
            <w:vAlign w:val="center"/>
          </w:tcPr>
          <w:p>
            <w:pPr>
              <w:jc w:val="right"/>
            </w:pPr>
            <w: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67,864,663.42</w:t>
            </w:r>
          </w:p>
        </w:tc>
        <w:tc>
          <w:tcPr>
            <w:tcW w:w="1749" w:type="dxa"/>
            <w:shd w:val="clear" w:color="auto" w:fill="auto"/>
            <w:vAlign w:val="center"/>
          </w:tcPr>
          <w:p>
            <w:pPr>
              <w:jc w:val="right"/>
            </w:pPr>
            <w:r>
              <w:t>65.26</w:t>
            </w:r>
          </w:p>
        </w:tc>
        <w:tc>
          <w:tcPr>
            <w:tcW w:w="1653" w:type="dxa"/>
            <w:vAlign w:val="center"/>
          </w:tcPr>
          <w:p>
            <w:pPr>
              <w:jc w:val="right"/>
            </w:pPr>
            <w:r>
              <w:t>10,916,916.73</w:t>
            </w:r>
          </w:p>
        </w:tc>
        <w:tc>
          <w:tcPr>
            <w:tcW w:w="1705" w:type="dxa"/>
            <w:vAlign w:val="center"/>
          </w:tcPr>
          <w:p>
            <w:pPr>
              <w:jc w:val="right"/>
            </w:pPr>
            <w: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4,000,261.27</w:t>
            </w:r>
          </w:p>
        </w:tc>
        <w:tc>
          <w:tcPr>
            <w:tcW w:w="1749" w:type="dxa"/>
            <w:shd w:val="clear" w:color="auto" w:fill="auto"/>
            <w:vAlign w:val="center"/>
          </w:tcPr>
          <w:p>
            <w:pPr>
              <w:jc w:val="right"/>
            </w:pPr>
            <w:r>
              <w:t>3.85</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798,317.68</w:t>
            </w:r>
          </w:p>
        </w:tc>
        <w:tc>
          <w:tcPr>
            <w:tcW w:w="1749" w:type="dxa"/>
            <w:shd w:val="clear" w:color="auto" w:fill="auto"/>
            <w:vAlign w:val="center"/>
          </w:tcPr>
          <w:p>
            <w:pPr>
              <w:jc w:val="right"/>
            </w:pPr>
            <w:r>
              <w:t>0.77</w:t>
            </w:r>
          </w:p>
        </w:tc>
        <w:tc>
          <w:tcPr>
            <w:tcW w:w="1653" w:type="dxa"/>
            <w:vAlign w:val="center"/>
          </w:tcPr>
          <w:p>
            <w:pPr>
              <w:jc w:val="right"/>
            </w:pPr>
            <w:r>
              <w:t>102,097.45</w:t>
            </w:r>
          </w:p>
        </w:tc>
        <w:tc>
          <w:tcPr>
            <w:tcW w:w="1705" w:type="dxa"/>
            <w:vAlign w:val="center"/>
          </w:tcPr>
          <w:p>
            <w:pPr>
              <w:jc w:val="right"/>
            </w:pPr>
            <w: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11,012,229.54</w:t>
            </w:r>
          </w:p>
        </w:tc>
        <w:tc>
          <w:tcPr>
            <w:tcW w:w="1749" w:type="dxa"/>
            <w:shd w:val="clear" w:color="auto" w:fill="auto"/>
            <w:vAlign w:val="center"/>
          </w:tcPr>
          <w:p>
            <w:pPr>
              <w:jc w:val="right"/>
            </w:pPr>
            <w:r>
              <w:t>10.59</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20,313,434.62</w:t>
            </w:r>
          </w:p>
        </w:tc>
        <w:tc>
          <w:tcPr>
            <w:tcW w:w="1749" w:type="dxa"/>
            <w:shd w:val="clear" w:color="auto" w:fill="auto"/>
            <w:vAlign w:val="center"/>
          </w:tcPr>
          <w:p>
            <w:pPr>
              <w:jc w:val="right"/>
            </w:pPr>
            <w:r>
              <w:t>19.53</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103,988,906.53</w:t>
            </w:r>
          </w:p>
        </w:tc>
        <w:tc>
          <w:tcPr>
            <w:tcW w:w="1749" w:type="dxa"/>
            <w:shd w:val="clear" w:color="auto" w:fill="auto"/>
          </w:tcPr>
          <w:p>
            <w:pPr>
              <w:jc w:val="right"/>
            </w:pPr>
            <w:r>
              <w:t>100.00</w:t>
            </w:r>
          </w:p>
        </w:tc>
        <w:tc>
          <w:tcPr>
            <w:tcW w:w="1653" w:type="dxa"/>
          </w:tcPr>
          <w:p>
            <w:pPr>
              <w:jc w:val="right"/>
            </w:pPr>
            <w:r>
              <w:t>11,019,014.17</w:t>
            </w:r>
          </w:p>
        </w:tc>
        <w:tc>
          <w:tcPr>
            <w:tcW w:w="1705" w:type="dxa"/>
          </w:tcPr>
          <w:p>
            <w:pPr>
              <w:jc w:val="right"/>
            </w:pPr>
            <w:r>
              <w:t>10.60</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6.21%；直接或间接持有的非标准化债权资产占比19.61%，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NK2-湖南银行马上消费金融20250530</w:t>
            </w:r>
          </w:p>
        </w:tc>
        <w:tc>
          <w:tcPr>
            <w:tcW w:w="2693" w:type="dxa"/>
            <w:shd w:val="clear" w:color="auto" w:fill="auto"/>
            <w:vAlign w:val="center"/>
          </w:tcPr>
          <w:p>
            <w:pPr>
              <w:jc w:val="right"/>
            </w:pPr>
            <w:r>
              <w:t>20,313,428.45</w:t>
            </w:r>
          </w:p>
        </w:tc>
        <w:tc>
          <w:tcPr>
            <w:tcW w:w="2431" w:type="dxa"/>
            <w:shd w:val="clear" w:color="auto" w:fill="auto"/>
            <w:vAlign w:val="center"/>
          </w:tcPr>
          <w:p>
            <w:pPr>
              <w:jc w:val="right"/>
            </w:pPr>
            <w:r>
              <w:t>19.61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中信证券湘稳1号集合资产管理计划</w:t>
            </w:r>
          </w:p>
        </w:tc>
        <w:tc>
          <w:tcPr>
            <w:tcW w:w="2693" w:type="dxa"/>
            <w:shd w:val="clear" w:color="auto" w:fill="auto"/>
            <w:vAlign w:val="center"/>
          </w:tcPr>
          <w:p>
            <w:pPr>
              <w:ind w:hanging="1"/>
              <w:jc w:val="right"/>
            </w:pPr>
            <w:r>
              <w:rPr>
                <w:b w:val="0"/>
                <w:i w:val="0"/>
                <w:strike w:val="0"/>
                <w:u w:val="none"/>
              </w:rPr>
              <w:t>11,012,229.54</w:t>
            </w:r>
          </w:p>
        </w:tc>
        <w:tc>
          <w:tcPr>
            <w:tcW w:w="2431" w:type="dxa"/>
            <w:shd w:val="clear" w:color="auto" w:fill="auto"/>
            <w:vAlign w:val="center"/>
          </w:tcPr>
          <w:p>
            <w:pPr>
              <w:ind w:hanging="1"/>
              <w:jc w:val="right"/>
            </w:pPr>
            <w:r>
              <w:rPr>
                <w:b w:val="0"/>
                <w:i w:val="0"/>
                <w:strike w:val="0"/>
                <w:u w:val="none"/>
              </w:rPr>
              <w:t>10.63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24湖南临港MTN001</w:t>
            </w:r>
          </w:p>
        </w:tc>
        <w:tc>
          <w:tcPr>
            <w:tcW w:w="2693" w:type="dxa"/>
            <w:shd w:val="clear" w:color="auto" w:fill="auto"/>
            <w:vAlign w:val="center"/>
          </w:tcPr>
          <w:p>
            <w:pPr>
              <w:ind w:hanging="1"/>
              <w:jc w:val="right"/>
            </w:pPr>
            <w:r>
              <w:rPr>
                <w:b w:val="0"/>
                <w:i w:val="0"/>
                <w:strike w:val="0"/>
                <w:u w:val="none"/>
              </w:rPr>
              <w:t>8,328,263.01</w:t>
            </w:r>
          </w:p>
        </w:tc>
        <w:tc>
          <w:tcPr>
            <w:tcW w:w="2431" w:type="dxa"/>
            <w:shd w:val="clear" w:color="auto" w:fill="auto"/>
            <w:vAlign w:val="center"/>
          </w:tcPr>
          <w:p>
            <w:pPr>
              <w:ind w:hanging="1"/>
              <w:jc w:val="right"/>
            </w:pPr>
            <w:r>
              <w:rPr>
                <w:b w:val="0"/>
                <w:i w:val="0"/>
                <w:strike w:val="0"/>
                <w:u w:val="none"/>
              </w:rPr>
              <w:t>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22株城04</w:t>
            </w:r>
          </w:p>
        </w:tc>
        <w:tc>
          <w:tcPr>
            <w:tcW w:w="2693" w:type="dxa"/>
            <w:shd w:val="clear" w:color="auto" w:fill="auto"/>
            <w:vAlign w:val="center"/>
          </w:tcPr>
          <w:p>
            <w:pPr>
              <w:ind w:hanging="1"/>
              <w:jc w:val="right"/>
            </w:pPr>
            <w:r>
              <w:rPr>
                <w:b w:val="0"/>
                <w:i w:val="0"/>
                <w:strike w:val="0"/>
                <w:u w:val="none"/>
              </w:rPr>
              <w:t>7,261,222.58</w:t>
            </w:r>
          </w:p>
        </w:tc>
        <w:tc>
          <w:tcPr>
            <w:tcW w:w="2431" w:type="dxa"/>
            <w:shd w:val="clear" w:color="auto" w:fill="auto"/>
            <w:vAlign w:val="center"/>
          </w:tcPr>
          <w:p>
            <w:pPr>
              <w:ind w:hanging="1"/>
              <w:jc w:val="right"/>
            </w:pPr>
            <w:r>
              <w:rPr>
                <w:b w:val="0"/>
                <w:i w:val="0"/>
                <w:strike w:val="0"/>
                <w:u w:val="none"/>
              </w:rPr>
              <w:t>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20攸州国投01</w:t>
            </w:r>
          </w:p>
        </w:tc>
        <w:tc>
          <w:tcPr>
            <w:tcW w:w="2693" w:type="dxa"/>
            <w:shd w:val="clear" w:color="auto" w:fill="auto"/>
            <w:vAlign w:val="center"/>
          </w:tcPr>
          <w:p>
            <w:pPr>
              <w:ind w:hanging="1"/>
              <w:jc w:val="right"/>
            </w:pPr>
            <w:r>
              <w:rPr>
                <w:b w:val="0"/>
                <w:i w:val="0"/>
                <w:strike w:val="0"/>
                <w:u w:val="none"/>
              </w:rPr>
              <w:t>6,026,220.21</w:t>
            </w:r>
          </w:p>
        </w:tc>
        <w:tc>
          <w:tcPr>
            <w:tcW w:w="2431" w:type="dxa"/>
            <w:shd w:val="clear" w:color="auto" w:fill="auto"/>
            <w:vAlign w:val="center"/>
          </w:tcPr>
          <w:p>
            <w:pPr>
              <w:ind w:hanging="1"/>
              <w:jc w:val="right"/>
            </w:pPr>
            <w:r>
              <w:rPr>
                <w:b w:val="0"/>
                <w:i w:val="0"/>
                <w:strike w:val="0"/>
                <w:u w:val="none"/>
              </w:rPr>
              <w:t>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24财鑫01</w:t>
            </w:r>
          </w:p>
        </w:tc>
        <w:tc>
          <w:tcPr>
            <w:tcW w:w="2693" w:type="dxa"/>
            <w:shd w:val="clear" w:color="auto" w:fill="auto"/>
            <w:vAlign w:val="center"/>
          </w:tcPr>
          <w:p>
            <w:pPr>
              <w:ind w:hanging="1"/>
              <w:jc w:val="right"/>
            </w:pPr>
            <w:r>
              <w:rPr>
                <w:b w:val="0"/>
                <w:i w:val="0"/>
                <w:strike w:val="0"/>
                <w:u w:val="none"/>
              </w:rPr>
              <w:t>5,191,452.06</w:t>
            </w:r>
          </w:p>
        </w:tc>
        <w:tc>
          <w:tcPr>
            <w:tcW w:w="2431" w:type="dxa"/>
            <w:shd w:val="clear" w:color="auto" w:fill="auto"/>
            <w:vAlign w:val="center"/>
          </w:tcPr>
          <w:p>
            <w:pPr>
              <w:ind w:hanging="1"/>
              <w:jc w:val="right"/>
            </w:pPr>
            <w:r>
              <w:rPr>
                <w:b w:val="0"/>
                <w:i w:val="0"/>
                <w:strike w:val="0"/>
                <w:u w:val="none"/>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25进出清发01</w:t>
            </w:r>
          </w:p>
        </w:tc>
        <w:tc>
          <w:tcPr>
            <w:tcW w:w="2693" w:type="dxa"/>
            <w:shd w:val="clear" w:color="auto" w:fill="auto"/>
            <w:vAlign w:val="center"/>
          </w:tcPr>
          <w:p>
            <w:pPr>
              <w:ind w:hanging="1"/>
              <w:jc w:val="right"/>
            </w:pPr>
            <w:r>
              <w:rPr>
                <w:b w:val="0"/>
                <w:i w:val="0"/>
                <w:strike w:val="0"/>
                <w:u w:val="none"/>
              </w:rPr>
              <w:t>5,031,821.92</w:t>
            </w:r>
          </w:p>
        </w:tc>
        <w:tc>
          <w:tcPr>
            <w:tcW w:w="2431" w:type="dxa"/>
            <w:shd w:val="clear" w:color="auto" w:fill="auto"/>
            <w:vAlign w:val="center"/>
          </w:tcPr>
          <w:p>
            <w:pPr>
              <w:ind w:hanging="1"/>
              <w:jc w:val="right"/>
            </w:pPr>
            <w:r>
              <w:rPr>
                <w:b w:val="0"/>
                <w:i w:val="0"/>
                <w:strike w:val="0"/>
                <w:u w:val="none"/>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4,736,846.85</w:t>
            </w:r>
          </w:p>
        </w:tc>
        <w:tc>
          <w:tcPr>
            <w:tcW w:w="2431" w:type="dxa"/>
            <w:shd w:val="clear" w:color="auto" w:fill="auto"/>
            <w:vAlign w:val="center"/>
          </w:tcPr>
          <w:p>
            <w:pPr>
              <w:ind w:hanging="1"/>
              <w:jc w:val="right"/>
            </w:pPr>
            <w:r>
              <w:rPr>
                <w:b w:val="0"/>
                <w:i w:val="0"/>
                <w:strike w:val="0"/>
                <w:u w:val="none"/>
              </w:rPr>
              <w:t>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24百福投资MTN001</w:t>
            </w:r>
          </w:p>
        </w:tc>
        <w:tc>
          <w:tcPr>
            <w:tcW w:w="2693" w:type="dxa"/>
            <w:shd w:val="clear" w:color="auto" w:fill="auto"/>
            <w:vAlign w:val="center"/>
          </w:tcPr>
          <w:p>
            <w:pPr>
              <w:ind w:hanging="1"/>
              <w:jc w:val="right"/>
            </w:pPr>
            <w:r>
              <w:rPr>
                <w:b w:val="0"/>
                <w:i w:val="0"/>
                <w:strike w:val="0"/>
                <w:u w:val="none"/>
              </w:rPr>
              <w:t>4,198,301.37</w:t>
            </w:r>
          </w:p>
        </w:tc>
        <w:tc>
          <w:tcPr>
            <w:tcW w:w="2431" w:type="dxa"/>
            <w:shd w:val="clear" w:color="auto" w:fill="auto"/>
            <w:vAlign w:val="center"/>
          </w:tcPr>
          <w:p>
            <w:pPr>
              <w:ind w:hanging="1"/>
              <w:jc w:val="right"/>
            </w:pPr>
            <w:r>
              <w:rPr>
                <w:b w:val="0"/>
                <w:i w:val="0"/>
                <w:strike w:val="0"/>
                <w:u w:val="none"/>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22金洲专项02</w:t>
            </w:r>
          </w:p>
        </w:tc>
        <w:tc>
          <w:tcPr>
            <w:tcW w:w="2693" w:type="dxa"/>
            <w:shd w:val="clear" w:color="auto" w:fill="auto"/>
            <w:vAlign w:val="center"/>
          </w:tcPr>
          <w:p>
            <w:pPr>
              <w:ind w:hanging="1"/>
              <w:jc w:val="right"/>
            </w:pPr>
            <w:r>
              <w:rPr>
                <w:b w:val="0"/>
                <w:i w:val="0"/>
                <w:strike w:val="0"/>
                <w:u w:val="none"/>
              </w:rPr>
              <w:t>4,170,912.74</w:t>
            </w:r>
          </w:p>
        </w:tc>
        <w:tc>
          <w:tcPr>
            <w:tcW w:w="2431" w:type="dxa"/>
            <w:shd w:val="clear" w:color="auto" w:fill="auto"/>
            <w:vAlign w:val="center"/>
          </w:tcPr>
          <w:p>
            <w:pPr>
              <w:ind w:hanging="1"/>
              <w:jc w:val="right"/>
            </w:pPr>
            <w:r>
              <w:rPr>
                <w:b w:val="0"/>
                <w:i w:val="0"/>
                <w:strike w:val="0"/>
                <w:u w:val="none"/>
              </w:rPr>
              <w:t>4.03</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NK2-湖南银行马上消费金融20250530</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20,313,428.45</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19.61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24湖南临港MTN001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8,328,263.01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8.04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22株城04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7,261,222.58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7.01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20攸州国投01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6,026,220.21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5.82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24财鑫01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5,191,452.06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5,031,821.92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4.86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4,736,846.85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4.57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24百福投资MTN001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4,198,301.37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22金洲专项02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4,170,912.74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PR轩达01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4,122,161.10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3.98</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731903861410974</w:t>
            </w:r>
          </w:p>
        </w:tc>
        <w:tc>
          <w:tcPr>
            <w:tcW w:w="2693" w:type="dxa"/>
            <w:shd w:val="clear" w:color="auto" w:fill="auto"/>
            <w:vAlign w:val="center"/>
          </w:tcPr>
          <w:p>
            <w:pPr>
              <w:spacing w:before="100" w:beforeAutospacing="1" w:after="100" w:afterAutospacing="1"/>
            </w:pPr>
            <w:r>
              <w:t>湖南银行股份有限公司-融智理财添利系列年开2号理财产品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NK2-湖南银行马上消费金融20250530</w:t>
            </w:r>
          </w:p>
        </w:tc>
        <w:tc>
          <w:tcPr>
            <w:tcW w:w="1336" w:type="dxa"/>
            <w:shd w:val="clear" w:color="auto" w:fill="auto"/>
            <w:vAlign w:val="center"/>
          </w:tcPr>
          <w:p>
            <w:pPr>
              <w:spacing w:before="100" w:beforeAutospacing="1" w:after="100" w:afterAutospacing="1"/>
            </w:pPr>
            <w:r>
              <w:t>马上消费金融股份有限公司</w:t>
            </w:r>
          </w:p>
        </w:tc>
        <w:tc>
          <w:tcPr>
            <w:tcW w:w="1295" w:type="dxa"/>
            <w:shd w:val="clear" w:color="auto" w:fill="auto"/>
            <w:vAlign w:val="center"/>
          </w:tcPr>
          <w:p>
            <w:pPr>
              <w:spacing w:before="100" w:beforeAutospacing="1" w:after="100" w:afterAutospacing="1"/>
            </w:pPr>
            <w:r>
              <w:t>138</w:t>
            </w:r>
          </w:p>
        </w:tc>
        <w:tc>
          <w:tcPr>
            <w:tcW w:w="1514" w:type="dxa"/>
            <w:shd w:val="clear" w:color="auto" w:fill="auto"/>
            <w:vAlign w:val="center"/>
          </w:tcPr>
          <w:p>
            <w:pPr>
              <w:spacing w:before="100" w:beforeAutospacing="1" w:after="100" w:afterAutospacing="1"/>
            </w:pPr>
            <w:r>
              <w:t>正常</w:t>
            </w:r>
          </w:p>
        </w:tc>
        <w:tc>
          <w:tcPr>
            <w:tcW w:w="1527" w:type="dxa"/>
            <w:shd w:val="clear" w:color="auto" w:fill="auto"/>
            <w:vAlign w:val="center"/>
          </w:tcPr>
          <w:p>
            <w:pPr>
              <w:spacing w:before="100" w:beforeAutospacing="1" w:after="100" w:afterAutospacing="1"/>
            </w:pPr>
            <w:r>
              <w:t>2.65</w:t>
            </w:r>
          </w:p>
        </w:tc>
        <w:tc>
          <w:tcPr>
            <w:tcW w:w="1624" w:type="dxa"/>
            <w:shd w:val="clear" w:color="auto" w:fill="auto"/>
            <w:vAlign w:val="center"/>
          </w:tcPr>
          <w:p>
            <w:pPr>
              <w:spacing w:before="100" w:beforeAutospacing="1" w:after="100" w:afterAutospacing="1"/>
            </w:pPr>
            <w:r>
              <w:t>同业借款</w:t>
            </w: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86D4F54"/>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2</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2026-01-23T03:21:01Z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