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融智理财添利系列年开10号理财产品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融智理财添利系列年开10号理财产品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C1136022000008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35,970,000.00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[2%-3.5%]/年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100.55%</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7"/>
            <w:bookmarkEnd w:id="0"/>
            <w:bookmarkStart w:id="1" w:name="OLE_LINK4"/>
            <w:bookmarkEnd w:id="1"/>
            <w:r>
              <w:t>13.61</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210,598.91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170,030.08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36,559,183.47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1.1361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36,559,183.47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1.1361</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30,638,897.91</w:t>
            </w:r>
          </w:p>
        </w:tc>
        <w:tc>
          <w:tcPr>
            <w:tcW w:w="1749" w:type="dxa"/>
            <w:shd w:val="clear" w:color="auto" w:fill="auto"/>
            <w:vAlign w:val="center"/>
          </w:tcPr>
          <w:p>
            <w:pPr>
              <w:jc w:val="right"/>
            </w:pPr>
            <w:r>
              <w:t>83.34</w:t>
            </w:r>
          </w:p>
        </w:tc>
        <w:tc>
          <w:tcPr>
            <w:tcW w:w="1653" w:type="dxa"/>
            <w:vAlign w:val="center"/>
          </w:tcPr>
          <w:p>
            <w:pPr>
              <w:jc w:val="right"/>
            </w:pPr>
            <w:r>
              <w:t>5,735,586.90</w:t>
            </w:r>
          </w:p>
        </w:tc>
        <w:tc>
          <w:tcPr>
            <w:tcW w:w="1705" w:type="dxa"/>
            <w:vAlign w:val="center"/>
          </w:tcPr>
          <w:p>
            <w:pPr>
              <w:jc w:val="right"/>
            </w:pPr>
            <w:r>
              <w:t>15.60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30,195,481.89</w:t>
            </w:r>
          </w:p>
        </w:tc>
        <w:tc>
          <w:tcPr>
            <w:tcW w:w="1749" w:type="dxa"/>
            <w:shd w:val="clear" w:color="auto" w:fill="auto"/>
            <w:vAlign w:val="center"/>
          </w:tcPr>
          <w:p>
            <w:pPr>
              <w:jc w:val="right"/>
            </w:pPr>
            <w:r>
              <w:t>82.14</w:t>
            </w:r>
          </w:p>
        </w:tc>
        <w:tc>
          <w:tcPr>
            <w:tcW w:w="1653" w:type="dxa"/>
            <w:vAlign w:val="center"/>
          </w:tcPr>
          <w:p>
            <w:pPr>
              <w:jc w:val="right"/>
            </w:pPr>
            <w:r>
              <w:t>5,735,586.90</w:t>
            </w:r>
          </w:p>
        </w:tc>
        <w:tc>
          <w:tcPr>
            <w:tcW w:w="1705" w:type="dxa"/>
            <w:vAlign w:val="center"/>
          </w:tcPr>
          <w:p>
            <w:pPr>
              <w:jc w:val="right"/>
            </w:pPr>
            <w:r>
              <w:t>15.60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443,416.02</w:t>
            </w:r>
          </w:p>
        </w:tc>
        <w:tc>
          <w:tcPr>
            <w:tcW w:w="1749" w:type="dxa"/>
            <w:shd w:val="clear" w:color="auto" w:fill="auto"/>
            <w:vAlign w:val="center"/>
          </w:tcPr>
          <w:p>
            <w:pPr>
              <w:jc w:val="right"/>
            </w:pPr>
            <w:r>
              <w:t>1.21</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488,386.48</w:t>
            </w:r>
          </w:p>
        </w:tc>
        <w:tc>
          <w:tcPr>
            <w:tcW w:w="1749" w:type="dxa"/>
            <w:shd w:val="clear" w:color="auto" w:fill="auto"/>
            <w:vAlign w:val="center"/>
          </w:tcPr>
          <w:p>
            <w:pPr>
              <w:jc w:val="right"/>
            </w:pPr>
            <w:r>
              <w:t>1.33</w:t>
            </w:r>
          </w:p>
        </w:tc>
        <w:tc>
          <w:tcPr>
            <w:tcW w:w="1653" w:type="dxa"/>
            <w:vAlign w:val="center"/>
          </w:tcPr>
          <w:p>
            <w:pPr>
              <w:jc w:val="right"/>
            </w:pPr>
            <w:r>
              <w:t>70,576.66</w:t>
            </w:r>
          </w:p>
        </w:tc>
        <w:tc>
          <w:tcPr>
            <w:tcW w:w="1705" w:type="dxa"/>
            <w:vAlign w:val="center"/>
          </w:tcPr>
          <w:p>
            <w:pPr>
              <w:jc w:val="right"/>
            </w:pPr>
            <w: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5,634,593.53</w:t>
            </w:r>
          </w:p>
        </w:tc>
        <w:tc>
          <w:tcPr>
            <w:tcW w:w="1749" w:type="dxa"/>
            <w:shd w:val="clear" w:color="auto" w:fill="auto"/>
            <w:vAlign w:val="center"/>
          </w:tcPr>
          <w:p>
            <w:pPr>
              <w:jc w:val="right"/>
            </w:pPr>
            <w:r>
              <w:t>15.33</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47,276.10</w:t>
            </w:r>
          </w:p>
        </w:tc>
        <w:tc>
          <w:tcPr>
            <w:tcW w:w="1705" w:type="dxa"/>
            <w:vAlign w:val="center"/>
          </w:tcPr>
          <w:p>
            <w:pPr>
              <w:jc w:val="right"/>
            </w:pPr>
            <w: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36,761,877.92</w:t>
            </w:r>
          </w:p>
        </w:tc>
        <w:tc>
          <w:tcPr>
            <w:tcW w:w="1749" w:type="dxa"/>
            <w:shd w:val="clear" w:color="auto" w:fill="auto"/>
          </w:tcPr>
          <w:p>
            <w:pPr>
              <w:jc w:val="right"/>
            </w:pPr>
            <w:r>
              <w:t>100.00</w:t>
            </w:r>
          </w:p>
        </w:tc>
        <w:tc>
          <w:tcPr>
            <w:tcW w:w="1653" w:type="dxa"/>
          </w:tcPr>
          <w:p>
            <w:pPr>
              <w:jc w:val="right"/>
            </w:pPr>
            <w:r>
              <w:t>5,853,439.65</w:t>
            </w:r>
          </w:p>
        </w:tc>
        <w:tc>
          <w:tcPr>
            <w:tcW w:w="1705" w:type="dxa"/>
          </w:tcPr>
          <w:p>
            <w:pPr>
              <w:jc w:val="right"/>
            </w:pPr>
            <w:r>
              <w:t>15.92</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6.89%；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博华固收3号资产管理计划</w:t>
            </w:r>
          </w:p>
        </w:tc>
        <w:tc>
          <w:tcPr>
            <w:tcW w:w="2693" w:type="dxa"/>
            <w:shd w:val="clear" w:color="auto" w:fill="auto"/>
            <w:vAlign w:val="center"/>
          </w:tcPr>
          <w:p>
            <w:pPr>
              <w:jc w:val="right"/>
            </w:pPr>
            <w:r>
              <w:t>3,392,079.20</w:t>
            </w:r>
          </w:p>
        </w:tc>
        <w:tc>
          <w:tcPr>
            <w:tcW w:w="2431" w:type="dxa"/>
            <w:shd w:val="clear" w:color="auto" w:fill="auto"/>
            <w:vAlign w:val="center"/>
          </w:tcPr>
          <w:p>
            <w:pPr>
              <w:jc w:val="right"/>
            </w:pPr>
            <w:r>
              <w:t>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24惠临01</w:t>
            </w:r>
          </w:p>
        </w:tc>
        <w:tc>
          <w:tcPr>
            <w:tcW w:w="2693" w:type="dxa"/>
            <w:shd w:val="clear" w:color="auto" w:fill="auto"/>
            <w:vAlign w:val="center"/>
          </w:tcPr>
          <w:p>
            <w:pPr>
              <w:ind w:hanging="1"/>
              <w:jc w:val="right"/>
            </w:pPr>
            <w:r>
              <w:rPr>
                <w:b w:val="0"/>
                <w:i w:val="0"/>
                <w:strike w:val="0"/>
                <w:u w:val="none"/>
              </w:rPr>
              <w:t>3,305,994.52</w:t>
            </w:r>
          </w:p>
        </w:tc>
        <w:tc>
          <w:tcPr>
            <w:tcW w:w="2431" w:type="dxa"/>
            <w:shd w:val="clear" w:color="auto" w:fill="auto"/>
            <w:vAlign w:val="center"/>
          </w:tcPr>
          <w:p>
            <w:pPr>
              <w:ind w:hanging="1"/>
              <w:jc w:val="right"/>
            </w:pPr>
            <w:r>
              <w:rPr>
                <w:b w:val="0"/>
                <w:i w:val="0"/>
                <w:strike w:val="0"/>
                <w:u w:val="none"/>
              </w:rPr>
              <w:t>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24株城02</w:t>
            </w:r>
          </w:p>
        </w:tc>
        <w:tc>
          <w:tcPr>
            <w:tcW w:w="2693" w:type="dxa"/>
            <w:shd w:val="clear" w:color="auto" w:fill="auto"/>
            <w:vAlign w:val="center"/>
          </w:tcPr>
          <w:p>
            <w:pPr>
              <w:ind w:hanging="1"/>
              <w:jc w:val="right"/>
            </w:pPr>
            <w:r>
              <w:rPr>
                <w:b w:val="0"/>
                <w:i w:val="0"/>
                <w:strike w:val="0"/>
                <w:u w:val="none"/>
              </w:rPr>
              <w:t>2,948,223.56</w:t>
            </w:r>
          </w:p>
        </w:tc>
        <w:tc>
          <w:tcPr>
            <w:tcW w:w="2431" w:type="dxa"/>
            <w:shd w:val="clear" w:color="auto" w:fill="auto"/>
            <w:vAlign w:val="center"/>
          </w:tcPr>
          <w:p>
            <w:pPr>
              <w:ind w:hanging="1"/>
              <w:jc w:val="right"/>
            </w:pPr>
            <w:r>
              <w:rPr>
                <w:b w:val="0"/>
                <w:i w:val="0"/>
                <w:strike w:val="0"/>
                <w:u w:val="none"/>
              </w:rPr>
              <w:t>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23桃源02</w:t>
            </w:r>
          </w:p>
        </w:tc>
        <w:tc>
          <w:tcPr>
            <w:tcW w:w="2693" w:type="dxa"/>
            <w:shd w:val="clear" w:color="auto" w:fill="auto"/>
            <w:vAlign w:val="center"/>
          </w:tcPr>
          <w:p>
            <w:pPr>
              <w:ind w:hanging="1"/>
              <w:jc w:val="right"/>
            </w:pPr>
            <w:r>
              <w:rPr>
                <w:b w:val="0"/>
                <w:i w:val="0"/>
                <w:strike w:val="0"/>
                <w:u w:val="none"/>
              </w:rPr>
              <w:t>2,688,164.93</w:t>
            </w:r>
          </w:p>
        </w:tc>
        <w:tc>
          <w:tcPr>
            <w:tcW w:w="2431" w:type="dxa"/>
            <w:shd w:val="clear" w:color="auto" w:fill="auto"/>
            <w:vAlign w:val="center"/>
          </w:tcPr>
          <w:p>
            <w:pPr>
              <w:ind w:hanging="1"/>
              <w:jc w:val="right"/>
            </w:pPr>
            <w:r>
              <w:rPr>
                <w:b w:val="0"/>
                <w:i w:val="0"/>
                <w:strike w:val="0"/>
                <w:u w:val="none"/>
              </w:rPr>
              <w:t>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24郴新01</w:t>
            </w:r>
          </w:p>
        </w:tc>
        <w:tc>
          <w:tcPr>
            <w:tcW w:w="2693" w:type="dxa"/>
            <w:shd w:val="clear" w:color="auto" w:fill="auto"/>
            <w:vAlign w:val="center"/>
          </w:tcPr>
          <w:p>
            <w:pPr>
              <w:ind w:hanging="1"/>
              <w:jc w:val="right"/>
            </w:pPr>
            <w:r>
              <w:rPr>
                <w:b w:val="0"/>
                <w:i w:val="0"/>
                <w:strike w:val="0"/>
                <w:u w:val="none"/>
              </w:rPr>
              <w:t>2,637,561.64</w:t>
            </w:r>
          </w:p>
        </w:tc>
        <w:tc>
          <w:tcPr>
            <w:tcW w:w="2431" w:type="dxa"/>
            <w:shd w:val="clear" w:color="auto" w:fill="auto"/>
            <w:vAlign w:val="center"/>
          </w:tcPr>
          <w:p>
            <w:pPr>
              <w:ind w:hanging="1"/>
              <w:jc w:val="right"/>
            </w:pPr>
            <w:r>
              <w:rPr>
                <w:b w:val="0"/>
                <w:i w:val="0"/>
                <w:strike w:val="0"/>
                <w:u w:val="none"/>
              </w:rPr>
              <w:t>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华夏纯债3号</w:t>
            </w:r>
          </w:p>
        </w:tc>
        <w:tc>
          <w:tcPr>
            <w:tcW w:w="2693" w:type="dxa"/>
            <w:shd w:val="clear" w:color="auto" w:fill="auto"/>
            <w:vAlign w:val="center"/>
          </w:tcPr>
          <w:p>
            <w:pPr>
              <w:ind w:hanging="1"/>
              <w:jc w:val="right"/>
            </w:pPr>
            <w:r>
              <w:rPr>
                <w:b w:val="0"/>
                <w:i w:val="0"/>
                <w:strike w:val="0"/>
                <w:u w:val="none"/>
              </w:rPr>
              <w:t>2,242,514.33</w:t>
            </w:r>
          </w:p>
        </w:tc>
        <w:tc>
          <w:tcPr>
            <w:tcW w:w="2431" w:type="dxa"/>
            <w:shd w:val="clear" w:color="auto" w:fill="auto"/>
            <w:vAlign w:val="center"/>
          </w:tcPr>
          <w:p>
            <w:pPr>
              <w:ind w:hanging="1"/>
              <w:jc w:val="right"/>
            </w:pPr>
            <w:r>
              <w:rPr>
                <w:b w:val="0"/>
                <w:i w:val="0"/>
                <w:strike w:val="0"/>
                <w:u w:val="none"/>
              </w:rPr>
              <w:t>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23国开07</w:t>
            </w:r>
          </w:p>
        </w:tc>
        <w:tc>
          <w:tcPr>
            <w:tcW w:w="2693" w:type="dxa"/>
            <w:shd w:val="clear" w:color="auto" w:fill="auto"/>
            <w:vAlign w:val="center"/>
          </w:tcPr>
          <w:p>
            <w:pPr>
              <w:ind w:hanging="1"/>
              <w:jc w:val="right"/>
            </w:pPr>
            <w:r>
              <w:rPr>
                <w:b w:val="0"/>
                <w:i w:val="0"/>
                <w:strike w:val="0"/>
                <w:u w:val="none"/>
              </w:rPr>
              <w:t>2,029,668.49</w:t>
            </w:r>
          </w:p>
        </w:tc>
        <w:tc>
          <w:tcPr>
            <w:tcW w:w="2431" w:type="dxa"/>
            <w:shd w:val="clear" w:color="auto" w:fill="auto"/>
            <w:vAlign w:val="center"/>
          </w:tcPr>
          <w:p>
            <w:pPr>
              <w:ind w:hanging="1"/>
              <w:jc w:val="right"/>
            </w:pPr>
            <w:r>
              <w:rPr>
                <w:b w:val="0"/>
                <w:i w:val="0"/>
                <w:strike w:val="0"/>
                <w:u w:val="none"/>
              </w:rPr>
              <w:t>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24百福投资MTN001</w:t>
            </w:r>
          </w:p>
        </w:tc>
        <w:tc>
          <w:tcPr>
            <w:tcW w:w="2693" w:type="dxa"/>
            <w:shd w:val="clear" w:color="auto" w:fill="auto"/>
            <w:vAlign w:val="center"/>
          </w:tcPr>
          <w:p>
            <w:pPr>
              <w:ind w:hanging="1"/>
              <w:jc w:val="right"/>
            </w:pPr>
            <w:r>
              <w:rPr>
                <w:b w:val="0"/>
                <w:i w:val="0"/>
                <w:strike w:val="0"/>
                <w:u w:val="none"/>
              </w:rPr>
              <w:t>1,994,193.15</w:t>
            </w:r>
          </w:p>
        </w:tc>
        <w:tc>
          <w:tcPr>
            <w:tcW w:w="2431" w:type="dxa"/>
            <w:shd w:val="clear" w:color="auto" w:fill="auto"/>
            <w:vAlign w:val="center"/>
          </w:tcPr>
          <w:p>
            <w:pPr>
              <w:ind w:hanging="1"/>
              <w:jc w:val="right"/>
            </w:pPr>
            <w:r>
              <w:rPr>
                <w:b w:val="0"/>
                <w:i w:val="0"/>
                <w:strike w:val="0"/>
                <w:u w:val="none"/>
              </w:rPr>
              <w:t>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21攸州国投01</w:t>
            </w:r>
          </w:p>
        </w:tc>
        <w:tc>
          <w:tcPr>
            <w:tcW w:w="2693" w:type="dxa"/>
            <w:shd w:val="clear" w:color="auto" w:fill="auto"/>
            <w:vAlign w:val="center"/>
          </w:tcPr>
          <w:p>
            <w:pPr>
              <w:ind w:hanging="1"/>
              <w:jc w:val="right"/>
            </w:pPr>
            <w:r>
              <w:rPr>
                <w:b w:val="0"/>
                <w:i w:val="0"/>
                <w:strike w:val="0"/>
                <w:u w:val="none"/>
              </w:rPr>
              <w:t>1,796,349.59</w:t>
            </w:r>
          </w:p>
        </w:tc>
        <w:tc>
          <w:tcPr>
            <w:tcW w:w="2431" w:type="dxa"/>
            <w:shd w:val="clear" w:color="auto" w:fill="auto"/>
            <w:vAlign w:val="center"/>
          </w:tcPr>
          <w:p>
            <w:pPr>
              <w:ind w:hanging="1"/>
              <w:jc w:val="right"/>
            </w:pPr>
            <w:r>
              <w:rPr>
                <w:b w:val="0"/>
                <w:i w:val="0"/>
                <w:strike w:val="0"/>
                <w:u w:val="none"/>
              </w:rPr>
              <w:t>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21郑州银行永续债</w:t>
            </w:r>
          </w:p>
        </w:tc>
        <w:tc>
          <w:tcPr>
            <w:tcW w:w="2693" w:type="dxa"/>
            <w:shd w:val="clear" w:color="auto" w:fill="auto"/>
            <w:vAlign w:val="center"/>
          </w:tcPr>
          <w:p>
            <w:pPr>
              <w:ind w:hanging="1"/>
              <w:jc w:val="right"/>
            </w:pPr>
            <w:r>
              <w:rPr>
                <w:b w:val="0"/>
                <w:i w:val="0"/>
                <w:strike w:val="0"/>
                <w:u w:val="none"/>
              </w:rPr>
              <w:t>1,750,573.84</w:t>
            </w:r>
          </w:p>
        </w:tc>
        <w:tc>
          <w:tcPr>
            <w:tcW w:w="2431" w:type="dxa"/>
            <w:shd w:val="clear" w:color="auto" w:fill="auto"/>
            <w:vAlign w:val="center"/>
          </w:tcPr>
          <w:p>
            <w:pPr>
              <w:ind w:hanging="1"/>
              <w:jc w:val="right"/>
            </w:pPr>
            <w:r>
              <w:rPr>
                <w:b w:val="0"/>
                <w:i w:val="0"/>
                <w:strike w:val="0"/>
                <w:u w:val="none"/>
              </w:rPr>
              <w:t>4.79</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2" w:name="_GoBack" w:colFirst="0" w:colLast="0"/>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24惠临01</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3,305,994.52</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9.04</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24株城02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2,948,223.56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8.06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23桃源02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2,688,164.93</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7.35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24郴新01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2,637,561.64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7.21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23国开07</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2,029,668.49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5.55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24百福投资MTN001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1,994,193.15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5.45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21攸州国投01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1,796,349.59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4.91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21郑州银行永续债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1,750,573.84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4.79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21岳阳交投01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1,739,841.75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4.76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20常德鼎力01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1,694,634.52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4.64</w:t>
            </w:r>
          </w:p>
        </w:tc>
      </w:tr>
      <w:bookmarkEnd w:id="2"/>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731903861410872</w:t>
            </w:r>
          </w:p>
        </w:tc>
        <w:tc>
          <w:tcPr>
            <w:tcW w:w="2693" w:type="dxa"/>
            <w:shd w:val="clear" w:color="auto" w:fill="auto"/>
            <w:vAlign w:val="center"/>
          </w:tcPr>
          <w:p>
            <w:pPr>
              <w:spacing w:before="100" w:beforeAutospacing="1" w:after="100" w:afterAutospacing="1"/>
            </w:pPr>
            <w:r>
              <w:t>湖南银行股份有限公司-融智理财添利系列年开10号理财产品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9E64FC"/>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1</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2026-01-23T03:29:44Z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