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融智理财添利系列-D540-5理财产品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融智理财添利系列-D540-5理财产品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C1136020000169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2020-12-28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105,361,725.00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[1.9%-3.4%]/年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100.33%</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20.22</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782,902.50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631,933.49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106,490,719.13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106,490,719.13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1.2022</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2,218,603.97</w:t>
            </w:r>
          </w:p>
        </w:tc>
        <w:tc>
          <w:tcPr>
            <w:tcW w:w="1749" w:type="dxa"/>
            <w:shd w:val="clear" w:color="auto" w:fill="auto"/>
            <w:vAlign w:val="center"/>
          </w:tcPr>
          <w:p>
            <w:pPr>
              <w:jc w:val="right"/>
            </w:pPr>
            <w:r>
              <w:t>2.08</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68,646,460.63</w:t>
            </w:r>
          </w:p>
        </w:tc>
        <w:tc>
          <w:tcPr>
            <w:tcW w:w="1749" w:type="dxa"/>
            <w:shd w:val="clear" w:color="auto" w:fill="auto"/>
            <w:vAlign w:val="center"/>
          </w:tcPr>
          <w:p>
            <w:pPr>
              <w:jc w:val="right"/>
            </w:pPr>
            <w:r>
              <w:t>64.25</w:t>
            </w:r>
          </w:p>
        </w:tc>
        <w:tc>
          <w:tcPr>
            <w:tcW w:w="1653" w:type="dxa"/>
            <w:vAlign w:val="center"/>
          </w:tcPr>
          <w:p>
            <w:pPr>
              <w:jc w:val="right"/>
            </w:pPr>
            <w:r>
              <w:t>5,422,055.00</w:t>
            </w:r>
          </w:p>
        </w:tc>
        <w:tc>
          <w:tcPr>
            <w:tcW w:w="1705" w:type="dxa"/>
            <w:vAlign w:val="center"/>
          </w:tcPr>
          <w:p>
            <w:pPr>
              <w:jc w:val="right"/>
            </w:pPr>
            <w: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68,646,460.63</w:t>
            </w:r>
          </w:p>
        </w:tc>
        <w:tc>
          <w:tcPr>
            <w:tcW w:w="1749" w:type="dxa"/>
            <w:shd w:val="clear" w:color="auto" w:fill="auto"/>
            <w:vAlign w:val="center"/>
          </w:tcPr>
          <w:p>
            <w:pPr>
              <w:jc w:val="right"/>
            </w:pPr>
            <w:r>
              <w:t>64.25</w:t>
            </w:r>
          </w:p>
        </w:tc>
        <w:tc>
          <w:tcPr>
            <w:tcW w:w="1653" w:type="dxa"/>
            <w:vAlign w:val="center"/>
          </w:tcPr>
          <w:p>
            <w:pPr>
              <w:jc w:val="right"/>
            </w:pPr>
            <w:r>
              <w:t>5,422,055.00</w:t>
            </w:r>
          </w:p>
        </w:tc>
        <w:tc>
          <w:tcPr>
            <w:tcW w:w="1705" w:type="dxa"/>
            <w:vAlign w:val="center"/>
          </w:tcPr>
          <w:p>
            <w:pPr>
              <w:jc w:val="right"/>
            </w:pPr>
            <w: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180,910.98</w:t>
            </w:r>
          </w:p>
        </w:tc>
        <w:tc>
          <w:tcPr>
            <w:tcW w:w="1749" w:type="dxa"/>
            <w:shd w:val="clear" w:color="auto" w:fill="auto"/>
            <w:vAlign w:val="center"/>
          </w:tcPr>
          <w:p>
            <w:pPr>
              <w:jc w:val="right"/>
            </w:pPr>
            <w:r>
              <w:t>0.17</w:t>
            </w:r>
          </w:p>
        </w:tc>
        <w:tc>
          <w:tcPr>
            <w:tcW w:w="1653" w:type="dxa"/>
            <w:vAlign w:val="center"/>
          </w:tcPr>
          <w:p>
            <w:pPr>
              <w:jc w:val="right"/>
            </w:pPr>
            <w:r>
              <w:t>50,823.67</w:t>
            </w:r>
          </w:p>
        </w:tc>
        <w:tc>
          <w:tcPr>
            <w:tcW w:w="1705" w:type="dxa"/>
            <w:vAlign w:val="center"/>
          </w:tcPr>
          <w:p>
            <w:pPr>
              <w:jc w:val="right"/>
            </w:pPr>
            <w: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5,465,149.92</w:t>
            </w:r>
          </w:p>
        </w:tc>
        <w:tc>
          <w:tcPr>
            <w:tcW w:w="1749" w:type="dxa"/>
            <w:shd w:val="clear" w:color="auto" w:fill="auto"/>
            <w:vAlign w:val="center"/>
          </w:tcPr>
          <w:p>
            <w:pPr>
              <w:jc w:val="right"/>
            </w:pPr>
            <w:r>
              <w:t>5.12</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30,331,870.27</w:t>
            </w:r>
          </w:p>
        </w:tc>
        <w:tc>
          <w:tcPr>
            <w:tcW w:w="1749" w:type="dxa"/>
            <w:shd w:val="clear" w:color="auto" w:fill="auto"/>
            <w:vAlign w:val="center"/>
          </w:tcPr>
          <w:p>
            <w:pPr>
              <w:jc w:val="right"/>
            </w:pPr>
            <w:r>
              <w:t>28.39</w:t>
            </w:r>
          </w:p>
        </w:tc>
        <w:tc>
          <w:tcPr>
            <w:tcW w:w="1653" w:type="dxa"/>
            <w:vAlign w:val="center"/>
          </w:tcPr>
          <w:p>
            <w:pPr>
              <w:jc w:val="right"/>
            </w:pPr>
            <w:r>
              <w:t>0.04</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106,842,995.77</w:t>
            </w:r>
          </w:p>
        </w:tc>
        <w:tc>
          <w:tcPr>
            <w:tcW w:w="1749" w:type="dxa"/>
            <w:shd w:val="clear" w:color="auto" w:fill="auto"/>
          </w:tcPr>
          <w:p>
            <w:pPr>
              <w:jc w:val="right"/>
            </w:pPr>
            <w:r>
              <w:t>100.00</w:t>
            </w:r>
          </w:p>
        </w:tc>
        <w:tc>
          <w:tcPr>
            <w:tcW w:w="1653" w:type="dxa"/>
          </w:tcPr>
          <w:p>
            <w:pPr>
              <w:jc w:val="right"/>
            </w:pPr>
            <w:r>
              <w:t>5,472,878.72</w:t>
            </w:r>
          </w:p>
        </w:tc>
        <w:tc>
          <w:tcPr>
            <w:tcW w:w="1705" w:type="dxa"/>
          </w:tcPr>
          <w:p>
            <w:pPr>
              <w:jc w:val="right"/>
            </w:pPr>
            <w:r>
              <w:t>5.12</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5.70%；直接或间接持有的非标准化债权资产占比28.48%，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5405-湖南银行长银消金20250723</w:t>
            </w:r>
          </w:p>
        </w:tc>
        <w:tc>
          <w:tcPr>
            <w:tcW w:w="2693" w:type="dxa"/>
            <w:shd w:val="clear" w:color="auto" w:fill="auto"/>
            <w:vAlign w:val="center"/>
          </w:tcPr>
          <w:p>
            <w:pPr>
              <w:jc w:val="right"/>
            </w:pPr>
            <w:r>
              <w:t>30,331,870.27</w:t>
            </w:r>
          </w:p>
        </w:tc>
        <w:tc>
          <w:tcPr>
            <w:tcW w:w="2431" w:type="dxa"/>
            <w:shd w:val="clear" w:color="auto" w:fill="auto"/>
            <w:vAlign w:val="center"/>
          </w:tcPr>
          <w:p>
            <w:pPr>
              <w:jc w:val="right"/>
            </w:pPr>
            <w:r>
              <w:t>28.48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24浏城01</w:t>
            </w:r>
          </w:p>
        </w:tc>
        <w:tc>
          <w:tcPr>
            <w:tcW w:w="2693" w:type="dxa"/>
            <w:shd w:val="clear" w:color="auto" w:fill="auto"/>
            <w:vAlign w:val="center"/>
          </w:tcPr>
          <w:p>
            <w:pPr>
              <w:ind w:hanging="1"/>
              <w:jc w:val="right"/>
            </w:pPr>
            <w:r>
              <w:rPr>
                <w:b w:val="0"/>
                <w:i w:val="0"/>
                <w:strike w:val="0"/>
                <w:u w:val="none"/>
              </w:rPr>
              <w:t>9,724,235.62</w:t>
            </w:r>
          </w:p>
        </w:tc>
        <w:tc>
          <w:tcPr>
            <w:tcW w:w="2431" w:type="dxa"/>
            <w:shd w:val="clear" w:color="auto" w:fill="auto"/>
            <w:vAlign w:val="center"/>
          </w:tcPr>
          <w:p>
            <w:pPr>
              <w:ind w:hanging="1"/>
              <w:jc w:val="right"/>
            </w:pPr>
            <w:r>
              <w:rPr>
                <w:b w:val="0"/>
                <w:i w:val="0"/>
                <w:strike w:val="0"/>
                <w:u w:val="none"/>
              </w:rP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23望城经开01</w:t>
            </w:r>
          </w:p>
        </w:tc>
        <w:tc>
          <w:tcPr>
            <w:tcW w:w="2693" w:type="dxa"/>
            <w:shd w:val="clear" w:color="auto" w:fill="auto"/>
            <w:vAlign w:val="center"/>
          </w:tcPr>
          <w:p>
            <w:pPr>
              <w:ind w:hanging="1"/>
              <w:jc w:val="right"/>
            </w:pPr>
            <w:r>
              <w:rPr>
                <w:b w:val="0"/>
                <w:i w:val="0"/>
                <w:strike w:val="0"/>
                <w:u w:val="none"/>
              </w:rPr>
              <w:t>9,602,824.93</w:t>
            </w:r>
          </w:p>
        </w:tc>
        <w:tc>
          <w:tcPr>
            <w:tcW w:w="2431" w:type="dxa"/>
            <w:shd w:val="clear" w:color="auto" w:fill="auto"/>
            <w:vAlign w:val="center"/>
          </w:tcPr>
          <w:p>
            <w:pPr>
              <w:ind w:hanging="1"/>
              <w:jc w:val="right"/>
            </w:pPr>
            <w:r>
              <w:rPr>
                <w:b w:val="0"/>
                <w:i w:val="0"/>
                <w:strike w:val="0"/>
                <w:u w:val="none"/>
              </w:rP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22株城04</w:t>
            </w:r>
          </w:p>
        </w:tc>
        <w:tc>
          <w:tcPr>
            <w:tcW w:w="2693" w:type="dxa"/>
            <w:shd w:val="clear" w:color="auto" w:fill="auto"/>
            <w:vAlign w:val="center"/>
          </w:tcPr>
          <w:p>
            <w:pPr>
              <w:ind w:hanging="1"/>
              <w:jc w:val="right"/>
            </w:pPr>
            <w:r>
              <w:rPr>
                <w:b w:val="0"/>
                <w:i w:val="0"/>
                <w:strike w:val="0"/>
                <w:u w:val="none"/>
              </w:rPr>
              <w:t>9,396,876.27</w:t>
            </w:r>
          </w:p>
        </w:tc>
        <w:tc>
          <w:tcPr>
            <w:tcW w:w="2431" w:type="dxa"/>
            <w:shd w:val="clear" w:color="auto" w:fill="auto"/>
            <w:vAlign w:val="center"/>
          </w:tcPr>
          <w:p>
            <w:pPr>
              <w:ind w:hanging="1"/>
              <w:jc w:val="right"/>
            </w:pPr>
            <w:r>
              <w:rPr>
                <w:b w:val="0"/>
                <w:i w:val="0"/>
                <w:strike w:val="0"/>
                <w:u w:val="none"/>
              </w:rPr>
              <w:t>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9,140,386.85</w:t>
            </w:r>
          </w:p>
        </w:tc>
        <w:tc>
          <w:tcPr>
            <w:tcW w:w="2431" w:type="dxa"/>
            <w:shd w:val="clear" w:color="auto" w:fill="auto"/>
            <w:vAlign w:val="center"/>
          </w:tcPr>
          <w:p>
            <w:pPr>
              <w:ind w:hanging="1"/>
              <w:jc w:val="right"/>
            </w:pPr>
            <w:r>
              <w:rPr>
                <w:b w:val="0"/>
                <w:i w:val="0"/>
                <w:strike w:val="0"/>
                <w:u w:val="none"/>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20邵东债</w:t>
            </w:r>
          </w:p>
        </w:tc>
        <w:tc>
          <w:tcPr>
            <w:tcW w:w="2693" w:type="dxa"/>
            <w:shd w:val="clear" w:color="auto" w:fill="auto"/>
            <w:vAlign w:val="center"/>
          </w:tcPr>
          <w:p>
            <w:pPr>
              <w:ind w:hanging="1"/>
              <w:jc w:val="right"/>
            </w:pPr>
            <w:r>
              <w:rPr>
                <w:b w:val="0"/>
                <w:i w:val="0"/>
                <w:strike w:val="0"/>
                <w:u w:val="none"/>
              </w:rPr>
              <w:t>8,277,463.81</w:t>
            </w:r>
          </w:p>
        </w:tc>
        <w:tc>
          <w:tcPr>
            <w:tcW w:w="2431" w:type="dxa"/>
            <w:shd w:val="clear" w:color="auto" w:fill="auto"/>
            <w:vAlign w:val="center"/>
          </w:tcPr>
          <w:p>
            <w:pPr>
              <w:ind w:hanging="1"/>
              <w:jc w:val="right"/>
            </w:pPr>
            <w:r>
              <w:rPr>
                <w:b w:val="0"/>
                <w:i w:val="0"/>
                <w:strike w:val="0"/>
                <w:u w:val="none"/>
              </w:rPr>
              <w:t>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7,721,970.96</w:t>
            </w:r>
          </w:p>
        </w:tc>
        <w:tc>
          <w:tcPr>
            <w:tcW w:w="2431" w:type="dxa"/>
            <w:shd w:val="clear" w:color="auto" w:fill="auto"/>
            <w:vAlign w:val="center"/>
          </w:tcPr>
          <w:p>
            <w:pPr>
              <w:ind w:hanging="1"/>
              <w:jc w:val="right"/>
            </w:pPr>
            <w:r>
              <w:rPr>
                <w:b w:val="0"/>
                <w:i w:val="0"/>
                <w:strike w:val="0"/>
                <w:u w:val="none"/>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5,886,038.63</w:t>
            </w:r>
          </w:p>
        </w:tc>
        <w:tc>
          <w:tcPr>
            <w:tcW w:w="2431" w:type="dxa"/>
            <w:shd w:val="clear" w:color="auto" w:fill="auto"/>
            <w:vAlign w:val="center"/>
          </w:tcPr>
          <w:p>
            <w:pPr>
              <w:ind w:hanging="1"/>
              <w:jc w:val="right"/>
            </w:pPr>
            <w:r>
              <w:rPr>
                <w:b w:val="0"/>
                <w:i w:val="0"/>
                <w:strike w:val="0"/>
                <w:u w:val="none"/>
              </w:rPr>
              <w:t>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中信证券湘稳1号集合资产管理计划</w:t>
            </w:r>
          </w:p>
        </w:tc>
        <w:tc>
          <w:tcPr>
            <w:tcW w:w="2693" w:type="dxa"/>
            <w:shd w:val="clear" w:color="auto" w:fill="auto"/>
            <w:vAlign w:val="center"/>
          </w:tcPr>
          <w:p>
            <w:pPr>
              <w:ind w:hanging="1"/>
              <w:jc w:val="right"/>
            </w:pPr>
            <w:r>
              <w:rPr>
                <w:b w:val="0"/>
                <w:i w:val="0"/>
                <w:strike w:val="0"/>
                <w:u w:val="none"/>
              </w:rPr>
              <w:t>5,396,542.45</w:t>
            </w:r>
          </w:p>
        </w:tc>
        <w:tc>
          <w:tcPr>
            <w:tcW w:w="2431" w:type="dxa"/>
            <w:shd w:val="clear" w:color="auto" w:fill="auto"/>
            <w:vAlign w:val="center"/>
          </w:tcPr>
          <w:p>
            <w:pPr>
              <w:ind w:hanging="1"/>
              <w:jc w:val="right"/>
            </w:pPr>
            <w:r>
              <w:rPr>
                <w:b w:val="0"/>
                <w:i w:val="0"/>
                <w:strike w:val="0"/>
                <w:u w:val="none"/>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24永州经投MTN001</w:t>
            </w:r>
          </w:p>
        </w:tc>
        <w:tc>
          <w:tcPr>
            <w:tcW w:w="2693" w:type="dxa"/>
            <w:shd w:val="clear" w:color="auto" w:fill="auto"/>
            <w:vAlign w:val="center"/>
          </w:tcPr>
          <w:p>
            <w:pPr>
              <w:ind w:hanging="1"/>
              <w:jc w:val="right"/>
            </w:pPr>
            <w:r>
              <w:rPr>
                <w:b w:val="0"/>
                <w:i w:val="0"/>
                <w:strike w:val="0"/>
                <w:u w:val="none"/>
              </w:rPr>
              <w:t>3,969,943.56</w:t>
            </w:r>
          </w:p>
        </w:tc>
        <w:tc>
          <w:tcPr>
            <w:tcW w:w="2431" w:type="dxa"/>
            <w:shd w:val="clear" w:color="auto" w:fill="auto"/>
            <w:vAlign w:val="center"/>
          </w:tcPr>
          <w:p>
            <w:pPr>
              <w:ind w:hanging="1"/>
              <w:jc w:val="right"/>
            </w:pPr>
            <w:r>
              <w:rPr>
                <w:b w:val="0"/>
                <w:i w:val="0"/>
                <w:strike w:val="0"/>
                <w:u w:val="none"/>
              </w:rPr>
              <w:t>3.73</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5405-湖南银行长银消金20250723</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30,331,870.27</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28.48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24浏城01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9,724,235.62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23望城经开01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9,602,824.93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22株城04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9,396,876.27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8.82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9,140,386.85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8.58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20邵东债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8,277,463.81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7.77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7,721,970.96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5,886,038.63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24永州经投MTN001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3,969,943.56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3.73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22长沙农商行二级资本债01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2,506,635.62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2.35</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731903861410545</w:t>
            </w:r>
          </w:p>
        </w:tc>
        <w:tc>
          <w:tcPr>
            <w:tcW w:w="2693" w:type="dxa"/>
            <w:shd w:val="clear" w:color="auto" w:fill="auto"/>
            <w:vAlign w:val="center"/>
          </w:tcPr>
          <w:p>
            <w:pPr>
              <w:spacing w:before="100" w:beforeAutospacing="1" w:after="100" w:afterAutospacing="1"/>
            </w:pPr>
            <w:r>
              <w:t>湖南银行股份有限公司-融智理财添利系列-D540-5理财产品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5405-湖南银行长银消金20250723</w:t>
            </w:r>
          </w:p>
        </w:tc>
        <w:tc>
          <w:tcPr>
            <w:tcW w:w="1336" w:type="dxa"/>
            <w:shd w:val="clear" w:color="auto" w:fill="auto"/>
            <w:vAlign w:val="center"/>
          </w:tcPr>
          <w:p>
            <w:pPr>
              <w:spacing w:before="100" w:beforeAutospacing="1" w:after="100" w:afterAutospacing="1"/>
            </w:pPr>
            <w:r>
              <w:t>陕西长银消费金融有限公司</w:t>
            </w:r>
          </w:p>
        </w:tc>
        <w:tc>
          <w:tcPr>
            <w:tcW w:w="1295" w:type="dxa"/>
            <w:shd w:val="clear" w:color="auto" w:fill="auto"/>
            <w:vAlign w:val="center"/>
          </w:tcPr>
          <w:p>
            <w:pPr>
              <w:spacing w:before="100" w:beforeAutospacing="1" w:after="100" w:afterAutospacing="1"/>
            </w:pPr>
            <w:r>
              <w:t>331</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2.55</w:t>
            </w:r>
          </w:p>
        </w:tc>
        <w:tc>
          <w:tcPr>
            <w:tcW w:w="1624" w:type="dxa"/>
            <w:shd w:val="clear" w:color="auto" w:fill="auto"/>
            <w:vAlign w:val="center"/>
          </w:tcPr>
          <w:p>
            <w:pPr>
              <w:spacing w:before="100" w:beforeAutospacing="1" w:after="100" w:afterAutospacing="1"/>
            </w:pPr>
            <w:r>
              <w:t>同业借款</w:t>
            </w: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2F75689B"/>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8</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2026-01-23T02:37:19Z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