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融智理财添利系列-D365-8理财产品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融智理财添利系列-D365-8理财产品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C1136019000192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2019-12-24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51,140,293.00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100.06%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22.83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3,114,841.27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319,426.81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51,160,131.05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51,160,131.05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1.2283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50,797,120.92</w:t>
            </w:r>
          </w:p>
        </w:tc>
        <w:tc>
          <w:tcPr>
            <w:tcW w:w="1749" w:type="dxa"/>
            <w:shd w:val="clear" w:color="auto" w:fill="auto"/>
            <w:vAlign w:val="center"/>
          </w:tcPr>
          <w:p>
            <w:pPr>
              <w:jc w:val="right"/>
            </w:pPr>
            <w:r>
              <w:t>99.23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46,160,024.70</w:t>
            </w:r>
          </w:p>
        </w:tc>
        <w:tc>
          <w:tcPr>
            <w:tcW w:w="1749" w:type="dxa"/>
            <w:shd w:val="clear" w:color="auto" w:fill="auto"/>
            <w:vAlign w:val="center"/>
          </w:tcPr>
          <w:p>
            <w:pPr>
              <w:jc w:val="right"/>
            </w:pPr>
            <w:r>
              <w:t>90.17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4,637,096.22</w:t>
            </w:r>
          </w:p>
        </w:tc>
        <w:tc>
          <w:tcPr>
            <w:tcW w:w="1749" w:type="dxa"/>
            <w:shd w:val="clear" w:color="auto" w:fill="auto"/>
            <w:vAlign w:val="center"/>
          </w:tcPr>
          <w:p>
            <w:pPr>
              <w:jc w:val="right"/>
            </w:pPr>
            <w:r>
              <w:t>9.06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396,164.54</w:t>
            </w:r>
          </w:p>
        </w:tc>
        <w:tc>
          <w:tcPr>
            <w:tcW w:w="1749" w:type="dxa"/>
            <w:shd w:val="clear" w:color="auto" w:fill="auto"/>
            <w:vAlign w:val="center"/>
          </w:tcPr>
          <w:p>
            <w:pPr>
              <w:jc w:val="right"/>
            </w:pPr>
            <w:r>
              <w:t>0.77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2.68</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51,193,288.14</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7.07%；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21桂林银行二级01</w:t>
            </w:r>
          </w:p>
        </w:tc>
        <w:tc>
          <w:tcPr>
            <w:tcW w:w="2693" w:type="dxa"/>
            <w:shd w:val="clear" w:color="auto" w:fill="auto"/>
            <w:vAlign w:val="center"/>
          </w:tcPr>
          <w:p>
            <w:pPr>
              <w:jc w:val="right"/>
            </w:pPr>
            <w:r>
              <w:t>4,992,138.08</w:t>
            </w:r>
          </w:p>
        </w:tc>
        <w:tc>
          <w:tcPr>
            <w:tcW w:w="2431" w:type="dxa"/>
            <w:shd w:val="clear" w:color="auto" w:fill="auto"/>
            <w:vAlign w:val="center"/>
          </w:tcPr>
          <w:p>
            <w:pPr>
              <w:jc w:val="right"/>
            </w:pPr>
            <w: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23广开03</w:t>
            </w:r>
          </w:p>
        </w:tc>
        <w:tc>
          <w:tcPr>
            <w:tcW w:w="2693" w:type="dxa"/>
            <w:shd w:val="clear" w:color="auto" w:fill="auto"/>
            <w:vAlign w:val="center"/>
          </w:tcPr>
          <w:p>
            <w:pPr>
              <w:ind w:hanging="1"/>
              <w:jc w:val="right"/>
            </w:pPr>
            <w:r>
              <w:rPr>
                <w:b w:val="0"/>
                <w:i w:val="0"/>
                <w:strike w:val="0"/>
                <w:u w:val="none"/>
              </w:rPr>
              <w:t>4,978,943.70</w:t>
            </w:r>
          </w:p>
        </w:tc>
        <w:tc>
          <w:tcPr>
            <w:tcW w:w="2431" w:type="dxa"/>
            <w:shd w:val="clear" w:color="auto" w:fill="auto"/>
            <w:vAlign w:val="center"/>
          </w:tcPr>
          <w:p>
            <w:pPr>
              <w:ind w:hanging="1"/>
              <w:jc w:val="right"/>
            </w:pPr>
            <w:r>
              <w:rPr>
                <w:b w:val="0"/>
                <w:i w:val="0"/>
                <w:strike w:val="0"/>
                <w:u w:val="none"/>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4,159,331.51</w:t>
            </w:r>
          </w:p>
        </w:tc>
        <w:tc>
          <w:tcPr>
            <w:tcW w:w="2431" w:type="dxa"/>
            <w:shd w:val="clear" w:color="auto" w:fill="auto"/>
            <w:vAlign w:val="center"/>
          </w:tcPr>
          <w:p>
            <w:pPr>
              <w:ind w:hanging="1"/>
              <w:jc w:val="right"/>
            </w:pPr>
            <w:r>
              <w:rPr>
                <w:b w:val="0"/>
                <w:i w:val="0"/>
                <w:strike w:val="0"/>
                <w:u w:val="none"/>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4,071,736.99</w:t>
            </w:r>
          </w:p>
        </w:tc>
        <w:tc>
          <w:tcPr>
            <w:tcW w:w="2431" w:type="dxa"/>
            <w:shd w:val="clear" w:color="auto" w:fill="auto"/>
            <w:vAlign w:val="center"/>
          </w:tcPr>
          <w:p>
            <w:pPr>
              <w:ind w:hanging="1"/>
              <w:jc w:val="right"/>
            </w:pPr>
            <w:r>
              <w:rPr>
                <w:b w:val="0"/>
                <w:i w:val="0"/>
                <w:strike w:val="0"/>
                <w:u w:val="none"/>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25YH2A2</w:t>
            </w:r>
          </w:p>
        </w:tc>
        <w:tc>
          <w:tcPr>
            <w:tcW w:w="2693" w:type="dxa"/>
            <w:shd w:val="clear" w:color="auto" w:fill="auto"/>
            <w:vAlign w:val="center"/>
          </w:tcPr>
          <w:p>
            <w:pPr>
              <w:ind w:hanging="1"/>
              <w:jc w:val="right"/>
            </w:pPr>
            <w:r>
              <w:rPr>
                <w:b w:val="0"/>
                <w:i w:val="0"/>
                <w:strike w:val="0"/>
                <w:u w:val="none"/>
              </w:rPr>
              <w:t>4,006,706.85</w:t>
            </w:r>
          </w:p>
        </w:tc>
        <w:tc>
          <w:tcPr>
            <w:tcW w:w="2431" w:type="dxa"/>
            <w:shd w:val="clear" w:color="auto" w:fill="auto"/>
            <w:vAlign w:val="center"/>
          </w:tcPr>
          <w:p>
            <w:pPr>
              <w:ind w:hanging="1"/>
              <w:jc w:val="right"/>
            </w:pPr>
            <w:r>
              <w:rPr>
                <w:b w:val="0"/>
                <w:i w:val="0"/>
                <w:strike w:val="0"/>
                <w:u w:val="none"/>
              </w:rPr>
              <w:t>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3,913,047.40</w:t>
            </w:r>
          </w:p>
        </w:tc>
        <w:tc>
          <w:tcPr>
            <w:tcW w:w="2431" w:type="dxa"/>
            <w:shd w:val="clear" w:color="auto" w:fill="auto"/>
            <w:vAlign w:val="center"/>
          </w:tcPr>
          <w:p>
            <w:pPr>
              <w:ind w:hanging="1"/>
              <w:jc w:val="right"/>
            </w:pPr>
            <w:r>
              <w:rPr>
                <w:b w:val="0"/>
                <w:i w:val="0"/>
                <w:strike w:val="0"/>
                <w:u w:val="none"/>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23振湘03</w:t>
            </w:r>
          </w:p>
        </w:tc>
        <w:tc>
          <w:tcPr>
            <w:tcW w:w="2693" w:type="dxa"/>
            <w:shd w:val="clear" w:color="auto" w:fill="auto"/>
            <w:vAlign w:val="center"/>
          </w:tcPr>
          <w:p>
            <w:pPr>
              <w:ind w:hanging="1"/>
              <w:jc w:val="right"/>
            </w:pPr>
            <w:r>
              <w:rPr>
                <w:b w:val="0"/>
                <w:i w:val="0"/>
                <w:strike w:val="0"/>
                <w:u w:val="none"/>
              </w:rPr>
              <w:t>3,897,686.03</w:t>
            </w:r>
          </w:p>
        </w:tc>
        <w:tc>
          <w:tcPr>
            <w:tcW w:w="2431" w:type="dxa"/>
            <w:shd w:val="clear" w:color="auto" w:fill="auto"/>
            <w:vAlign w:val="center"/>
          </w:tcPr>
          <w:p>
            <w:pPr>
              <w:ind w:hanging="1"/>
              <w:jc w:val="right"/>
            </w:pPr>
            <w:r>
              <w:rPr>
                <w:b w:val="0"/>
                <w:i w:val="0"/>
                <w:strike w:val="0"/>
                <w:u w:val="none"/>
              </w:rPr>
              <w:t>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3,220,366.03</w:t>
            </w:r>
          </w:p>
        </w:tc>
        <w:tc>
          <w:tcPr>
            <w:tcW w:w="2431" w:type="dxa"/>
            <w:shd w:val="clear" w:color="auto" w:fill="auto"/>
            <w:vAlign w:val="center"/>
          </w:tcPr>
          <w:p>
            <w:pPr>
              <w:ind w:hanging="1"/>
              <w:jc w:val="right"/>
            </w:pPr>
            <w:r>
              <w:rPr>
                <w:b w:val="0"/>
                <w:i w:val="0"/>
                <w:strike w:val="0"/>
                <w:u w:val="none"/>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3,163,638.00</w:t>
            </w:r>
          </w:p>
        </w:tc>
        <w:tc>
          <w:tcPr>
            <w:tcW w:w="2431" w:type="dxa"/>
            <w:shd w:val="clear" w:color="auto" w:fill="auto"/>
            <w:vAlign w:val="center"/>
          </w:tcPr>
          <w:p>
            <w:pPr>
              <w:ind w:hanging="1"/>
              <w:jc w:val="right"/>
            </w:pPr>
            <w:r>
              <w:rPr>
                <w:b w:val="0"/>
                <w:i w:val="0"/>
                <w:strike w:val="0"/>
                <w:u w:val="none"/>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20嘉禾01</w:t>
            </w:r>
          </w:p>
        </w:tc>
        <w:tc>
          <w:tcPr>
            <w:tcW w:w="2693" w:type="dxa"/>
            <w:shd w:val="clear" w:color="auto" w:fill="auto"/>
            <w:vAlign w:val="center"/>
          </w:tcPr>
          <w:p>
            <w:pPr>
              <w:ind w:hanging="1"/>
              <w:jc w:val="right"/>
            </w:pPr>
            <w:r>
              <w:rPr>
                <w:b w:val="0"/>
                <w:i w:val="0"/>
                <w:strike w:val="0"/>
                <w:u w:val="none"/>
              </w:rPr>
              <w:t>3,115,915.75</w:t>
            </w:r>
          </w:p>
        </w:tc>
        <w:tc>
          <w:tcPr>
            <w:tcW w:w="2431" w:type="dxa"/>
            <w:shd w:val="clear" w:color="auto" w:fill="auto"/>
            <w:vAlign w:val="center"/>
          </w:tcPr>
          <w:p>
            <w:pPr>
              <w:ind w:hanging="1"/>
              <w:jc w:val="right"/>
            </w:pPr>
            <w:r>
              <w:rPr>
                <w:b w:val="0"/>
                <w:i w:val="0"/>
                <w:strike w:val="0"/>
                <w:u w:val="none"/>
              </w:rPr>
              <w:t>6.09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21桂林银行二级01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4,992,138.08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9.76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23广开03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4,978,943.70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4,159,331.51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24永州经投MTN001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4,071,736.99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25YH2A2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4,006,706.85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3,913,047.40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3,897,686.03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3,220,366.03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3,163,638.00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20嘉禾01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3,115,915.75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6.09</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731903861410800</w:t>
            </w:r>
          </w:p>
        </w:tc>
        <w:tc>
          <w:tcPr>
            <w:tcW w:w="2693" w:type="dxa"/>
            <w:shd w:val="clear" w:color="auto" w:fill="auto"/>
            <w:vAlign w:val="center"/>
          </w:tcPr>
          <w:p>
            <w:pPr>
              <w:spacing w:before="100" w:beforeAutospacing="1" w:after="100" w:afterAutospacing="1"/>
            </w:pPr>
            <w:r>
              <w:t>湖南银行股份有限公司-融智理财添利系列-D365-8理财产品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77D7E75"/>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2026-01-22T08:24:52Z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