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融智理财添利系列-D540-12理财产品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融智理财添利系列-D540-12理财产品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40,268,000.00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100.11%</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16.94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229,987.33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412,597.18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40,273,084.71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40,273,084.71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1.1694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22,311,681.41</w:t>
            </w:r>
          </w:p>
        </w:tc>
        <w:tc>
          <w:tcPr>
            <w:tcW w:w="1749" w:type="dxa"/>
            <w:shd w:val="clear" w:color="auto" w:fill="auto"/>
            <w:vAlign w:val="center"/>
          </w:tcPr>
          <w:p>
            <w:pPr>
              <w:jc w:val="right"/>
            </w:pPr>
            <w:r>
              <w:t>55.34</w:t>
            </w:r>
          </w:p>
        </w:tc>
        <w:tc>
          <w:tcPr>
            <w:tcW w:w="1653" w:type="dxa"/>
            <w:vAlign w:val="center"/>
          </w:tcPr>
          <w:p>
            <w:pPr>
              <w:jc w:val="right"/>
            </w:pPr>
            <w:r>
              <w:t>16,877,563.06</w:t>
            </w:r>
          </w:p>
        </w:tc>
        <w:tc>
          <w:tcPr>
            <w:tcW w:w="1705" w:type="dxa"/>
            <w:vAlign w:val="center"/>
          </w:tcPr>
          <w:p>
            <w:pPr>
              <w:jc w:val="right"/>
            </w:pPr>
            <w:r>
              <w:t>41.86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22,311,681.41</w:t>
            </w:r>
          </w:p>
        </w:tc>
        <w:tc>
          <w:tcPr>
            <w:tcW w:w="1749" w:type="dxa"/>
            <w:shd w:val="clear" w:color="auto" w:fill="auto"/>
            <w:vAlign w:val="center"/>
          </w:tcPr>
          <w:p>
            <w:pPr>
              <w:jc w:val="right"/>
            </w:pPr>
            <w:r>
              <w:t>55.34</w:t>
            </w:r>
          </w:p>
        </w:tc>
        <w:tc>
          <w:tcPr>
            <w:tcW w:w="1653" w:type="dxa"/>
            <w:vAlign w:val="center"/>
          </w:tcPr>
          <w:p>
            <w:pPr>
              <w:jc w:val="right"/>
            </w:pPr>
            <w:r>
              <w:t>16,877,563.06</w:t>
            </w:r>
          </w:p>
        </w:tc>
        <w:tc>
          <w:tcPr>
            <w:tcW w:w="1705" w:type="dxa"/>
            <w:vAlign w:val="center"/>
          </w:tcPr>
          <w:p>
            <w:pPr>
              <w:jc w:val="right"/>
            </w:pPr>
            <w:r>
              <w:t>41.86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1,042,472.70</w:t>
            </w:r>
          </w:p>
        </w:tc>
        <w:tc>
          <w:tcPr>
            <w:tcW w:w="1749" w:type="dxa"/>
            <w:shd w:val="clear" w:color="auto" w:fill="auto"/>
            <w:vAlign w:val="center"/>
          </w:tcPr>
          <w:p>
            <w:pPr>
              <w:jc w:val="right"/>
            </w:pPr>
            <w:r>
              <w:t>2.59</w:t>
            </w:r>
          </w:p>
        </w:tc>
        <w:tc>
          <w:tcPr>
            <w:tcW w:w="1653" w:type="dxa"/>
            <w:vAlign w:val="center"/>
          </w:tcPr>
          <w:p>
            <w:pPr>
              <w:jc w:val="right"/>
            </w:pPr>
            <w:r>
              <w:t>175,736.79</w:t>
            </w:r>
          </w:p>
        </w:tc>
        <w:tc>
          <w:tcPr>
            <w:tcW w:w="1705" w:type="dxa"/>
            <w:vAlign w:val="center"/>
          </w:tcPr>
          <w:p>
            <w:pPr>
              <w:jc w:val="right"/>
            </w:pPr>
            <w: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16,961,694.86</w:t>
            </w:r>
          </w:p>
        </w:tc>
        <w:tc>
          <w:tcPr>
            <w:tcW w:w="1749" w:type="dxa"/>
            <w:shd w:val="clear" w:color="auto" w:fill="auto"/>
            <w:vAlign w:val="center"/>
          </w:tcPr>
          <w:p>
            <w:pPr>
              <w:jc w:val="right"/>
            </w:pPr>
            <w:r>
              <w:t>42.07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0.28</w:t>
            </w:r>
          </w:p>
        </w:tc>
        <w:tc>
          <w:tcPr>
            <w:tcW w:w="1749" w:type="dxa"/>
            <w:shd w:val="clear" w:color="auto" w:fill="auto"/>
            <w:vAlign w:val="center"/>
          </w:tcPr>
          <w:p>
            <w:pPr>
              <w:jc w:val="right"/>
            </w:pPr>
            <w:r>
              <w:t>0.00</w:t>
            </w:r>
          </w:p>
        </w:tc>
        <w:tc>
          <w:tcPr>
            <w:tcW w:w="1653" w:type="dxa"/>
            <w:vAlign w:val="center"/>
          </w:tcPr>
          <w:p>
            <w:pPr>
              <w:jc w:val="right"/>
            </w:pPr>
            <w:r>
              <w:t>59,609.10</w:t>
            </w:r>
          </w:p>
        </w:tc>
        <w:tc>
          <w:tcPr>
            <w:tcW w:w="1705" w:type="dxa"/>
            <w:vAlign w:val="center"/>
          </w:tcPr>
          <w:p>
            <w:pPr>
              <w:jc w:val="right"/>
            </w:pPr>
            <w: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40,315,849.25</w:t>
            </w:r>
          </w:p>
        </w:tc>
        <w:tc>
          <w:tcPr>
            <w:tcW w:w="1749" w:type="dxa"/>
            <w:shd w:val="clear" w:color="auto" w:fill="auto"/>
          </w:tcPr>
          <w:p>
            <w:pPr>
              <w:jc w:val="right"/>
            </w:pPr>
            <w:r>
              <w:t>100.00</w:t>
            </w:r>
          </w:p>
        </w:tc>
        <w:tc>
          <w:tcPr>
            <w:tcW w:w="1653" w:type="dxa"/>
          </w:tcPr>
          <w:p>
            <w:pPr>
              <w:jc w:val="right"/>
            </w:pPr>
            <w:r>
              <w:t>17,112,908.95</w:t>
            </w:r>
          </w:p>
        </w:tc>
        <w:tc>
          <w:tcPr>
            <w:tcW w:w="1705" w:type="dxa"/>
          </w:tcPr>
          <w:p>
            <w:pPr>
              <w:jc w:val="right"/>
            </w:pPr>
            <w:r>
              <w:t>42.45</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7.63%；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11,914,479.36</w:t>
            </w:r>
          </w:p>
        </w:tc>
        <w:tc>
          <w:tcPr>
            <w:tcW w:w="2431" w:type="dxa"/>
            <w:shd w:val="clear" w:color="auto" w:fill="auto"/>
            <w:vAlign w:val="center"/>
          </w:tcPr>
          <w:p>
            <w:pPr>
              <w:jc w:val="right"/>
            </w:pPr>
            <w:r>
              <w:t>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3,050,958.11</w:t>
            </w:r>
          </w:p>
        </w:tc>
        <w:tc>
          <w:tcPr>
            <w:tcW w:w="2431" w:type="dxa"/>
            <w:shd w:val="clear" w:color="auto" w:fill="auto"/>
            <w:vAlign w:val="center"/>
          </w:tcPr>
          <w:p>
            <w:pPr>
              <w:ind w:hanging="1"/>
              <w:jc w:val="right"/>
            </w:pPr>
            <w:r>
              <w:rPr>
                <w:b w:val="0"/>
                <w:i w:val="0"/>
                <w:strike w:val="0"/>
                <w:u w:val="none"/>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2,922,441.23</w:t>
            </w:r>
          </w:p>
        </w:tc>
        <w:tc>
          <w:tcPr>
            <w:tcW w:w="2431" w:type="dxa"/>
            <w:shd w:val="clear" w:color="auto" w:fill="auto"/>
            <w:vAlign w:val="center"/>
          </w:tcPr>
          <w:p>
            <w:pPr>
              <w:ind w:hanging="1"/>
              <w:jc w:val="right"/>
            </w:pPr>
            <w:r>
              <w:rPr>
                <w:b w:val="0"/>
                <w:i w:val="0"/>
                <w:strike w:val="0"/>
                <w:u w:val="none"/>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2,827,584.79</w:t>
            </w:r>
          </w:p>
        </w:tc>
        <w:tc>
          <w:tcPr>
            <w:tcW w:w="2431" w:type="dxa"/>
            <w:shd w:val="clear" w:color="auto" w:fill="auto"/>
            <w:vAlign w:val="center"/>
          </w:tcPr>
          <w:p>
            <w:pPr>
              <w:ind w:hanging="1"/>
              <w:jc w:val="right"/>
            </w:pPr>
            <w:r>
              <w:rPr>
                <w:b w:val="0"/>
                <w:i w:val="0"/>
                <w:strike w:val="0"/>
                <w:u w:val="none"/>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2,626,547.95</w:t>
            </w:r>
          </w:p>
        </w:tc>
        <w:tc>
          <w:tcPr>
            <w:tcW w:w="2431" w:type="dxa"/>
            <w:shd w:val="clear" w:color="auto" w:fill="auto"/>
            <w:vAlign w:val="center"/>
          </w:tcPr>
          <w:p>
            <w:pPr>
              <w:ind w:hanging="1"/>
              <w:jc w:val="right"/>
            </w:pPr>
            <w:r>
              <w:rPr>
                <w:b w:val="0"/>
                <w:i w:val="0"/>
                <w:strike w:val="0"/>
                <w:u w:val="none"/>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2,506,635.62</w:t>
            </w:r>
          </w:p>
        </w:tc>
        <w:tc>
          <w:tcPr>
            <w:tcW w:w="2431" w:type="dxa"/>
            <w:shd w:val="clear" w:color="auto" w:fill="auto"/>
            <w:vAlign w:val="center"/>
          </w:tcPr>
          <w:p>
            <w:pPr>
              <w:ind w:hanging="1"/>
              <w:jc w:val="right"/>
            </w:pPr>
            <w:r>
              <w:rPr>
                <w:b w:val="0"/>
                <w:i w:val="0"/>
                <w:strike w:val="0"/>
                <w:u w:val="none"/>
              </w:rPr>
              <w:t>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2,479,797.70</w:t>
            </w:r>
          </w:p>
        </w:tc>
        <w:tc>
          <w:tcPr>
            <w:tcW w:w="2431" w:type="dxa"/>
            <w:shd w:val="clear" w:color="auto" w:fill="auto"/>
            <w:vAlign w:val="center"/>
          </w:tcPr>
          <w:p>
            <w:pPr>
              <w:ind w:hanging="1"/>
              <w:jc w:val="right"/>
            </w:pPr>
            <w:r>
              <w:rPr>
                <w:b w:val="0"/>
                <w:i w:val="0"/>
                <w:strike w:val="0"/>
                <w:u w:val="none"/>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2,368,423.42</w:t>
            </w:r>
          </w:p>
        </w:tc>
        <w:tc>
          <w:tcPr>
            <w:tcW w:w="2431" w:type="dxa"/>
            <w:shd w:val="clear" w:color="auto" w:fill="auto"/>
            <w:vAlign w:val="center"/>
          </w:tcPr>
          <w:p>
            <w:pPr>
              <w:ind w:hanging="1"/>
              <w:jc w:val="right"/>
            </w:pPr>
            <w:r>
              <w:rPr>
                <w:b w:val="0"/>
                <w:i w:val="0"/>
                <w:strike w:val="0"/>
                <w:u w:val="none"/>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2,219,630.71</w:t>
            </w:r>
          </w:p>
        </w:tc>
        <w:tc>
          <w:tcPr>
            <w:tcW w:w="2431" w:type="dxa"/>
            <w:shd w:val="clear" w:color="auto" w:fill="auto"/>
            <w:vAlign w:val="center"/>
          </w:tcPr>
          <w:p>
            <w:pPr>
              <w:ind w:hanging="1"/>
              <w:jc w:val="right"/>
            </w:pPr>
            <w:r>
              <w:rPr>
                <w:b w:val="0"/>
                <w:i w:val="0"/>
                <w:strike w:val="0"/>
                <w:u w:val="none"/>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2,036,132.60</w:t>
            </w:r>
          </w:p>
        </w:tc>
        <w:tc>
          <w:tcPr>
            <w:tcW w:w="2431" w:type="dxa"/>
            <w:shd w:val="clear" w:color="auto" w:fill="auto"/>
            <w:vAlign w:val="center"/>
          </w:tcPr>
          <w:p>
            <w:pPr>
              <w:ind w:hanging="1"/>
              <w:jc w:val="right"/>
            </w:pPr>
            <w:r>
              <w:rPr>
                <w:b w:val="0"/>
                <w:i w:val="0"/>
                <w:strike w:val="0"/>
                <w:u w:val="none"/>
              </w:rPr>
              <w:t>5.06</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24芦淞01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3,050,958.11</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7.58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24湘担Y1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2,922,441.23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2,880,135.96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2,778,353.58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2,626,547.95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2,506,635.62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2,479,797.70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2,368,423.42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22恒丰银行永续债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2,055,086.09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2,036,132.60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5.06</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731903861410740</w:t>
            </w:r>
          </w:p>
        </w:tc>
        <w:tc>
          <w:tcPr>
            <w:tcW w:w="2693" w:type="dxa"/>
            <w:shd w:val="clear" w:color="auto" w:fill="auto"/>
            <w:vAlign w:val="center"/>
          </w:tcPr>
          <w:p>
            <w:pPr>
              <w:spacing w:before="100" w:beforeAutospacing="1" w:after="100" w:afterAutospacing="1"/>
            </w:pPr>
            <w:r>
              <w:t>湖南银行股份有限公司-融智理财添利系列-D540-12理财产品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A1F038B"/>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2026-01-23T03:02:01Z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