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融智理财添利系列-D540-7理财产品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融智理财添利系列-D540-7理财产品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90,229,000.00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[1.9%-3.4%]/年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100.28%</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4"/>
            <w:bookmarkEnd w:id="0"/>
            <w:bookmarkStart w:id="1" w:name="OLE_LINK7"/>
            <w:bookmarkEnd w:id="1"/>
            <w:r>
              <w:t>20.64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556,971.40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526,636.57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90,817,202.02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90,817,202.02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1.2064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77,218,953.29</w:t>
            </w:r>
          </w:p>
        </w:tc>
        <w:tc>
          <w:tcPr>
            <w:tcW w:w="1749" w:type="dxa"/>
            <w:shd w:val="clear" w:color="auto" w:fill="auto"/>
            <w:vAlign w:val="center"/>
          </w:tcPr>
          <w:p>
            <w:pPr>
              <w:jc w:val="right"/>
            </w:pPr>
            <w:r>
              <w:t>84.79</w:t>
            </w:r>
          </w:p>
        </w:tc>
        <w:tc>
          <w:tcPr>
            <w:tcW w:w="1653" w:type="dxa"/>
            <w:vAlign w:val="center"/>
          </w:tcPr>
          <w:p>
            <w:pPr>
              <w:jc w:val="right"/>
            </w:pPr>
            <w:r>
              <w:t>14,282,874.32</w:t>
            </w:r>
          </w:p>
        </w:tc>
        <w:tc>
          <w:tcPr>
            <w:tcW w:w="1705" w:type="dxa"/>
            <w:vAlign w:val="center"/>
          </w:tcPr>
          <w:p>
            <w:pPr>
              <w:jc w:val="right"/>
            </w:pPr>
            <w:r>
              <w:t>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77,218,953.29</w:t>
            </w:r>
          </w:p>
        </w:tc>
        <w:tc>
          <w:tcPr>
            <w:tcW w:w="1749" w:type="dxa"/>
            <w:shd w:val="clear" w:color="auto" w:fill="auto"/>
            <w:vAlign w:val="center"/>
          </w:tcPr>
          <w:p>
            <w:pPr>
              <w:jc w:val="right"/>
            </w:pPr>
            <w:r>
              <w:t>84.79</w:t>
            </w:r>
          </w:p>
        </w:tc>
        <w:tc>
          <w:tcPr>
            <w:tcW w:w="1653" w:type="dxa"/>
            <w:vAlign w:val="center"/>
          </w:tcPr>
          <w:p>
            <w:pPr>
              <w:jc w:val="right"/>
            </w:pPr>
            <w:r>
              <w:t>14,282,874.32</w:t>
            </w:r>
          </w:p>
        </w:tc>
        <w:tc>
          <w:tcPr>
            <w:tcW w:w="1705" w:type="dxa"/>
            <w:vAlign w:val="center"/>
          </w:tcPr>
          <w:p>
            <w:pPr>
              <w:jc w:val="right"/>
            </w:pPr>
            <w:r>
              <w:t>15.68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286,860.16</w:t>
            </w:r>
          </w:p>
        </w:tc>
        <w:tc>
          <w:tcPr>
            <w:tcW w:w="1749" w:type="dxa"/>
            <w:shd w:val="clear" w:color="auto" w:fill="auto"/>
            <w:vAlign w:val="center"/>
          </w:tcPr>
          <w:p>
            <w:pPr>
              <w:jc w:val="right"/>
            </w:pPr>
            <w:r>
              <w:t>0.31</w:t>
            </w:r>
          </w:p>
        </w:tc>
        <w:tc>
          <w:tcPr>
            <w:tcW w:w="1653" w:type="dxa"/>
            <w:vAlign w:val="center"/>
          </w:tcPr>
          <w:p>
            <w:pPr>
              <w:jc w:val="right"/>
            </w:pPr>
            <w:r>
              <w:t>156,399.49</w:t>
            </w:r>
          </w:p>
        </w:tc>
        <w:tc>
          <w:tcPr>
            <w:tcW w:w="1705" w:type="dxa"/>
            <w:vAlign w:val="center"/>
          </w:tcPr>
          <w:p>
            <w:pPr>
              <w:jc w:val="right"/>
            </w:pPr>
            <w: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13,568,316.83</w:t>
            </w:r>
          </w:p>
        </w:tc>
        <w:tc>
          <w:tcPr>
            <w:tcW w:w="1749" w:type="dxa"/>
            <w:shd w:val="clear" w:color="auto" w:fill="auto"/>
            <w:vAlign w:val="center"/>
          </w:tcPr>
          <w:p>
            <w:pPr>
              <w:jc w:val="right"/>
            </w:pPr>
            <w:r>
              <w:t>14.90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8.55</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91,074,130.28</w:t>
            </w:r>
          </w:p>
        </w:tc>
        <w:tc>
          <w:tcPr>
            <w:tcW w:w="1749" w:type="dxa"/>
            <w:shd w:val="clear" w:color="auto" w:fill="auto"/>
          </w:tcPr>
          <w:p>
            <w:pPr>
              <w:jc w:val="right"/>
            </w:pPr>
            <w:r>
              <w:t>100.00</w:t>
            </w:r>
          </w:p>
        </w:tc>
        <w:tc>
          <w:tcPr>
            <w:tcW w:w="1653" w:type="dxa"/>
          </w:tcPr>
          <w:p>
            <w:pPr>
              <w:jc w:val="right"/>
            </w:pPr>
            <w:r>
              <w:t>14,439,282.35</w:t>
            </w:r>
          </w:p>
        </w:tc>
        <w:tc>
          <w:tcPr>
            <w:tcW w:w="1705" w:type="dxa"/>
          </w:tcPr>
          <w:p>
            <w:pPr>
              <w:jc w:val="right"/>
            </w:pPr>
            <w:r>
              <w:t>15.85</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5.84%；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博华固收3号资产管理计划</w:t>
            </w:r>
          </w:p>
        </w:tc>
        <w:tc>
          <w:tcPr>
            <w:tcW w:w="2693" w:type="dxa"/>
            <w:shd w:val="clear" w:color="auto" w:fill="auto"/>
            <w:vAlign w:val="center"/>
          </w:tcPr>
          <w:p>
            <w:pPr>
              <w:jc w:val="right"/>
            </w:pPr>
            <w:r>
              <w:t>13,568,316.83</w:t>
            </w:r>
          </w:p>
        </w:tc>
        <w:tc>
          <w:tcPr>
            <w:tcW w:w="2431" w:type="dxa"/>
            <w:shd w:val="clear" w:color="auto" w:fill="auto"/>
            <w:vAlign w:val="center"/>
          </w:tcPr>
          <w:p>
            <w:pPr>
              <w:jc w:val="right"/>
            </w:pPr>
            <w:r>
              <w:t>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8,172,495.89</w:t>
            </w:r>
          </w:p>
        </w:tc>
        <w:tc>
          <w:tcPr>
            <w:tcW w:w="2431" w:type="dxa"/>
            <w:shd w:val="clear" w:color="auto" w:fill="auto"/>
            <w:vAlign w:val="center"/>
          </w:tcPr>
          <w:p>
            <w:pPr>
              <w:ind w:hanging="1"/>
              <w:jc w:val="right"/>
            </w:pPr>
            <w:r>
              <w:rPr>
                <w:b w:val="0"/>
                <w:i w:val="0"/>
                <w:strike w:val="0"/>
                <w:u w:val="none"/>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24衡高02</w:t>
            </w:r>
          </w:p>
        </w:tc>
        <w:tc>
          <w:tcPr>
            <w:tcW w:w="2693" w:type="dxa"/>
            <w:shd w:val="clear" w:color="auto" w:fill="auto"/>
            <w:vAlign w:val="center"/>
          </w:tcPr>
          <w:p>
            <w:pPr>
              <w:ind w:hanging="1"/>
              <w:jc w:val="right"/>
            </w:pPr>
            <w:r>
              <w:rPr>
                <w:b w:val="0"/>
                <w:i w:val="0"/>
                <w:strike w:val="0"/>
                <w:u w:val="none"/>
              </w:rPr>
              <w:t>8,128,102.22</w:t>
            </w:r>
          </w:p>
        </w:tc>
        <w:tc>
          <w:tcPr>
            <w:tcW w:w="2431" w:type="dxa"/>
            <w:shd w:val="clear" w:color="auto" w:fill="auto"/>
            <w:vAlign w:val="center"/>
          </w:tcPr>
          <w:p>
            <w:pPr>
              <w:ind w:hanging="1"/>
              <w:jc w:val="right"/>
            </w:pPr>
            <w:r>
              <w:rPr>
                <w:b w:val="0"/>
                <w:i w:val="0"/>
                <w:strike w:val="0"/>
                <w:u w:val="none"/>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7,871,815.07</w:t>
            </w:r>
          </w:p>
        </w:tc>
        <w:tc>
          <w:tcPr>
            <w:tcW w:w="2431" w:type="dxa"/>
            <w:shd w:val="clear" w:color="auto" w:fill="auto"/>
            <w:vAlign w:val="center"/>
          </w:tcPr>
          <w:p>
            <w:pPr>
              <w:ind w:hanging="1"/>
              <w:jc w:val="right"/>
            </w:pPr>
            <w:r>
              <w:rPr>
                <w:b w:val="0"/>
                <w:i w:val="0"/>
                <w:strike w:val="0"/>
                <w:u w:val="none"/>
              </w:rPr>
              <w:t>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7,721,970.96</w:t>
            </w:r>
          </w:p>
        </w:tc>
        <w:tc>
          <w:tcPr>
            <w:tcW w:w="2431" w:type="dxa"/>
            <w:shd w:val="clear" w:color="auto" w:fill="auto"/>
            <w:vAlign w:val="center"/>
          </w:tcPr>
          <w:p>
            <w:pPr>
              <w:ind w:hanging="1"/>
              <w:jc w:val="right"/>
            </w:pPr>
            <w:r>
              <w:rPr>
                <w:b w:val="0"/>
                <w:i w:val="0"/>
                <w:strike w:val="0"/>
                <w:u w:val="none"/>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7,255,716.16</w:t>
            </w:r>
          </w:p>
        </w:tc>
        <w:tc>
          <w:tcPr>
            <w:tcW w:w="2431" w:type="dxa"/>
            <w:shd w:val="clear" w:color="auto" w:fill="auto"/>
            <w:vAlign w:val="center"/>
          </w:tcPr>
          <w:p>
            <w:pPr>
              <w:ind w:hanging="1"/>
              <w:jc w:val="right"/>
            </w:pPr>
            <w:r>
              <w:rPr>
                <w:b w:val="0"/>
                <w:i w:val="0"/>
                <w:strike w:val="0"/>
                <w:u w:val="none"/>
              </w:rPr>
              <w:t>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24财鑫01</w:t>
            </w:r>
          </w:p>
        </w:tc>
        <w:tc>
          <w:tcPr>
            <w:tcW w:w="2693" w:type="dxa"/>
            <w:shd w:val="clear" w:color="auto" w:fill="auto"/>
            <w:vAlign w:val="center"/>
          </w:tcPr>
          <w:p>
            <w:pPr>
              <w:ind w:hanging="1"/>
              <w:jc w:val="right"/>
            </w:pPr>
            <w:r>
              <w:rPr>
                <w:b w:val="0"/>
                <w:i w:val="0"/>
                <w:strike w:val="0"/>
                <w:u w:val="none"/>
              </w:rPr>
              <w:t>5,399,110.14</w:t>
            </w:r>
          </w:p>
        </w:tc>
        <w:tc>
          <w:tcPr>
            <w:tcW w:w="2431" w:type="dxa"/>
            <w:shd w:val="clear" w:color="auto" w:fill="auto"/>
            <w:vAlign w:val="center"/>
          </w:tcPr>
          <w:p>
            <w:pPr>
              <w:ind w:hanging="1"/>
              <w:jc w:val="right"/>
            </w:pPr>
            <w:r>
              <w:rPr>
                <w:b w:val="0"/>
                <w:i w:val="0"/>
                <w:strike w:val="0"/>
                <w:u w:val="none"/>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24株洲金城PPN001</w:t>
            </w:r>
          </w:p>
        </w:tc>
        <w:tc>
          <w:tcPr>
            <w:tcW w:w="2693" w:type="dxa"/>
            <w:shd w:val="clear" w:color="auto" w:fill="auto"/>
            <w:vAlign w:val="center"/>
          </w:tcPr>
          <w:p>
            <w:pPr>
              <w:ind w:hanging="1"/>
              <w:jc w:val="right"/>
            </w:pPr>
            <w:r>
              <w:rPr>
                <w:b w:val="0"/>
                <w:i w:val="0"/>
                <w:strike w:val="0"/>
                <w:u w:val="none"/>
              </w:rPr>
              <w:t>5,111,011.78</w:t>
            </w:r>
          </w:p>
        </w:tc>
        <w:tc>
          <w:tcPr>
            <w:tcW w:w="2431" w:type="dxa"/>
            <w:shd w:val="clear" w:color="auto" w:fill="auto"/>
            <w:vAlign w:val="center"/>
          </w:tcPr>
          <w:p>
            <w:pPr>
              <w:ind w:hanging="1"/>
              <w:jc w:val="right"/>
            </w:pPr>
            <w:r>
              <w:rPr>
                <w:b w:val="0"/>
                <w:i w:val="0"/>
                <w:strike w:val="0"/>
                <w:u w:val="none"/>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21攸州国投01</w:t>
            </w:r>
          </w:p>
        </w:tc>
        <w:tc>
          <w:tcPr>
            <w:tcW w:w="2693" w:type="dxa"/>
            <w:shd w:val="clear" w:color="auto" w:fill="auto"/>
            <w:vAlign w:val="center"/>
          </w:tcPr>
          <w:p>
            <w:pPr>
              <w:ind w:hanging="1"/>
              <w:jc w:val="right"/>
            </w:pPr>
            <w:r>
              <w:rPr>
                <w:b w:val="0"/>
                <w:i w:val="0"/>
                <w:strike w:val="0"/>
                <w:u w:val="none"/>
              </w:rPr>
              <w:t>4,490,873.97</w:t>
            </w:r>
          </w:p>
        </w:tc>
        <w:tc>
          <w:tcPr>
            <w:tcW w:w="2431" w:type="dxa"/>
            <w:shd w:val="clear" w:color="auto" w:fill="auto"/>
            <w:vAlign w:val="center"/>
          </w:tcPr>
          <w:p>
            <w:pPr>
              <w:ind w:hanging="1"/>
              <w:jc w:val="right"/>
            </w:pPr>
            <w:r>
              <w:rPr>
                <w:b w:val="0"/>
                <w:i w:val="0"/>
                <w:strike w:val="0"/>
                <w:u w:val="none"/>
              </w:rPr>
              <w:t>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23农发04</w:t>
            </w:r>
          </w:p>
        </w:tc>
        <w:tc>
          <w:tcPr>
            <w:tcW w:w="2693" w:type="dxa"/>
            <w:shd w:val="clear" w:color="auto" w:fill="auto"/>
            <w:vAlign w:val="center"/>
          </w:tcPr>
          <w:p>
            <w:pPr>
              <w:ind w:hanging="1"/>
              <w:jc w:val="right"/>
            </w:pPr>
            <w:r>
              <w:rPr>
                <w:b w:val="0"/>
                <w:i w:val="0"/>
                <w:strike w:val="0"/>
                <w:u w:val="none"/>
              </w:rPr>
              <w:t>4,301,999.01</w:t>
            </w:r>
          </w:p>
        </w:tc>
        <w:tc>
          <w:tcPr>
            <w:tcW w:w="2431" w:type="dxa"/>
            <w:shd w:val="clear" w:color="auto" w:fill="auto"/>
            <w:vAlign w:val="center"/>
          </w:tcPr>
          <w:p>
            <w:pPr>
              <w:ind w:hanging="1"/>
              <w:jc w:val="right"/>
            </w:pPr>
            <w:r>
              <w:rPr>
                <w:b w:val="0"/>
                <w:i w:val="0"/>
                <w:strike w:val="0"/>
                <w:u w:val="none"/>
              </w:rPr>
              <w:t>4.74</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24浏城01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8,172,495.89</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9.00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24衡高02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8,128,102.22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7,871,815.07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8.67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7,721,970.96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8.50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24湘担Y1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7,255,716.16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24财鑫01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5,399,110.14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24株洲金城PPN001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5,111,011.78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21攸州国投01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4,490,873.97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23农发04</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4,301,999.01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21天易01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4,181,830.14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4.60</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731903861410377</w:t>
            </w:r>
          </w:p>
        </w:tc>
        <w:tc>
          <w:tcPr>
            <w:tcW w:w="2693" w:type="dxa"/>
            <w:shd w:val="clear" w:color="auto" w:fill="auto"/>
            <w:vAlign w:val="center"/>
          </w:tcPr>
          <w:p>
            <w:pPr>
              <w:spacing w:before="100" w:beforeAutospacing="1" w:after="100" w:afterAutospacing="1"/>
            </w:pPr>
            <w:r>
              <w:t>湖南银行股份有限公司-融智理财添利系列-D540-7理财产品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9111020"/>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10</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2026-01-23T02:52:02Z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