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融智理财添利系列年开4号理财产品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融智理财添利系列年开4号理财产品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72,993,000.00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100.28%</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4"/>
            <w:bookmarkEnd w:id="0"/>
            <w:bookmarkStart w:id="1" w:name="OLE_LINK7"/>
            <w:bookmarkEnd w:id="1"/>
            <w:r>
              <w:t>16.73</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427,967.01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345,244.85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73,557,564.90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73,557,564.90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1.1673</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22,560,162.19</w:t>
            </w:r>
          </w:p>
        </w:tc>
        <w:tc>
          <w:tcPr>
            <w:tcW w:w="1749" w:type="dxa"/>
            <w:shd w:val="clear" w:color="auto" w:fill="auto"/>
            <w:vAlign w:val="center"/>
          </w:tcPr>
          <w:p>
            <w:pPr>
              <w:jc w:val="right"/>
            </w:pPr>
            <w:r>
              <w:t>30.58</w:t>
            </w:r>
          </w:p>
        </w:tc>
        <w:tc>
          <w:tcPr>
            <w:tcW w:w="1653" w:type="dxa"/>
            <w:vAlign w:val="center"/>
          </w:tcPr>
          <w:p>
            <w:pPr>
              <w:jc w:val="right"/>
            </w:pPr>
            <w:r>
              <w:t>19,910,971.53</w:t>
            </w:r>
          </w:p>
        </w:tc>
        <w:tc>
          <w:tcPr>
            <w:tcW w:w="1705" w:type="dxa"/>
            <w:vAlign w:val="center"/>
          </w:tcPr>
          <w:p>
            <w:pPr>
              <w:jc w:val="right"/>
            </w:pPr>
            <w:r>
              <w:t>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22,560,162.19</w:t>
            </w:r>
          </w:p>
        </w:tc>
        <w:tc>
          <w:tcPr>
            <w:tcW w:w="1749" w:type="dxa"/>
            <w:shd w:val="clear" w:color="auto" w:fill="auto"/>
            <w:vAlign w:val="center"/>
          </w:tcPr>
          <w:p>
            <w:pPr>
              <w:jc w:val="right"/>
            </w:pPr>
            <w:r>
              <w:t>30.58</w:t>
            </w:r>
          </w:p>
        </w:tc>
        <w:tc>
          <w:tcPr>
            <w:tcW w:w="1653" w:type="dxa"/>
            <w:vAlign w:val="center"/>
          </w:tcPr>
          <w:p>
            <w:pPr>
              <w:jc w:val="right"/>
            </w:pPr>
            <w:r>
              <w:t>19,910,971.53</w:t>
            </w:r>
          </w:p>
        </w:tc>
        <w:tc>
          <w:tcPr>
            <w:tcW w:w="1705" w:type="dxa"/>
            <w:vAlign w:val="center"/>
          </w:tcPr>
          <w:p>
            <w:pPr>
              <w:jc w:val="right"/>
            </w:pPr>
            <w:r>
              <w:t>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700,531.29</w:t>
            </w:r>
          </w:p>
        </w:tc>
        <w:tc>
          <w:tcPr>
            <w:tcW w:w="1749" w:type="dxa"/>
            <w:shd w:val="clear" w:color="auto" w:fill="auto"/>
            <w:vAlign w:val="center"/>
          </w:tcPr>
          <w:p>
            <w:pPr>
              <w:jc w:val="right"/>
            </w:pPr>
            <w:r>
              <w:t>0.95</w:t>
            </w:r>
          </w:p>
        </w:tc>
        <w:tc>
          <w:tcPr>
            <w:tcW w:w="1653" w:type="dxa"/>
            <w:vAlign w:val="center"/>
          </w:tcPr>
          <w:p>
            <w:pPr>
              <w:jc w:val="right"/>
            </w:pPr>
            <w:r>
              <w:t>200,355.65</w:t>
            </w:r>
          </w:p>
        </w:tc>
        <w:tc>
          <w:tcPr>
            <w:tcW w:w="1705" w:type="dxa"/>
            <w:vAlign w:val="center"/>
          </w:tcPr>
          <w:p>
            <w:pPr>
              <w:jc w:val="right"/>
            </w:pPr>
            <w: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20,158,793.52</w:t>
            </w:r>
          </w:p>
        </w:tc>
        <w:tc>
          <w:tcPr>
            <w:tcW w:w="1749" w:type="dxa"/>
            <w:shd w:val="clear" w:color="auto" w:fill="auto"/>
            <w:vAlign w:val="center"/>
          </w:tcPr>
          <w:p>
            <w:pPr>
              <w:jc w:val="right"/>
            </w:pPr>
            <w:r>
              <w:t>27.33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30,344,171.03</w:t>
            </w:r>
          </w:p>
        </w:tc>
        <w:tc>
          <w:tcPr>
            <w:tcW w:w="1749" w:type="dxa"/>
            <w:shd w:val="clear" w:color="auto" w:fill="auto"/>
            <w:vAlign w:val="center"/>
          </w:tcPr>
          <w:p>
            <w:pPr>
              <w:jc w:val="right"/>
            </w:pPr>
            <w:r>
              <w:t>41.14</w:t>
            </w:r>
          </w:p>
        </w:tc>
        <w:tc>
          <w:tcPr>
            <w:tcW w:w="1653" w:type="dxa"/>
            <w:vAlign w:val="center"/>
          </w:tcPr>
          <w:p>
            <w:pPr>
              <w:jc w:val="right"/>
            </w:pPr>
            <w:r>
              <w:t>59,537.49</w:t>
            </w:r>
          </w:p>
        </w:tc>
        <w:tc>
          <w:tcPr>
            <w:tcW w:w="1705" w:type="dxa"/>
            <w:vAlign w:val="center"/>
          </w:tcPr>
          <w:p>
            <w:pPr>
              <w:jc w:val="right"/>
            </w:pPr>
            <w: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73,763,658.03</w:t>
            </w:r>
          </w:p>
        </w:tc>
        <w:tc>
          <w:tcPr>
            <w:tcW w:w="1749" w:type="dxa"/>
            <w:shd w:val="clear" w:color="auto" w:fill="auto"/>
          </w:tcPr>
          <w:p>
            <w:pPr>
              <w:jc w:val="right"/>
            </w:pPr>
            <w:r>
              <w:t>100.00</w:t>
            </w:r>
          </w:p>
        </w:tc>
        <w:tc>
          <w:tcPr>
            <w:tcW w:w="1653" w:type="dxa"/>
          </w:tcPr>
          <w:p>
            <w:pPr>
              <w:jc w:val="right"/>
            </w:pPr>
            <w:r>
              <w:t>20,170,864.67</w:t>
            </w:r>
          </w:p>
        </w:tc>
        <w:tc>
          <w:tcPr>
            <w:tcW w:w="1705" w:type="dxa"/>
          </w:tcPr>
          <w:p>
            <w:pPr>
              <w:jc w:val="right"/>
            </w:pPr>
            <w:r>
              <w:t>27.35</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7.02%；直接或间接持有的非标准化债权资产占比41.25%，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NK4-湖南银行马上消费金融20250723</w:t>
            </w:r>
          </w:p>
        </w:tc>
        <w:tc>
          <w:tcPr>
            <w:tcW w:w="2693" w:type="dxa"/>
            <w:shd w:val="clear" w:color="auto" w:fill="auto"/>
            <w:vAlign w:val="center"/>
          </w:tcPr>
          <w:p>
            <w:pPr>
              <w:jc w:val="right"/>
            </w:pPr>
            <w:r>
              <w:t>30,344,171.03</w:t>
            </w:r>
          </w:p>
        </w:tc>
        <w:tc>
          <w:tcPr>
            <w:tcW w:w="2431" w:type="dxa"/>
            <w:shd w:val="clear" w:color="auto" w:fill="auto"/>
            <w:vAlign w:val="center"/>
          </w:tcPr>
          <w:p>
            <w:pPr>
              <w:jc w:val="right"/>
            </w:pPr>
            <w:r>
              <w:t>41.25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17,334,539.31</w:t>
            </w:r>
          </w:p>
        </w:tc>
        <w:tc>
          <w:tcPr>
            <w:tcW w:w="2431" w:type="dxa"/>
            <w:shd w:val="clear" w:color="auto" w:fill="auto"/>
            <w:vAlign w:val="center"/>
          </w:tcPr>
          <w:p>
            <w:pPr>
              <w:ind w:hanging="1"/>
              <w:jc w:val="right"/>
            </w:pPr>
            <w:r>
              <w:rPr>
                <w:b w:val="0"/>
                <w:i w:val="0"/>
                <w:strike w:val="0"/>
                <w:u w:val="none"/>
              </w:rPr>
              <w:t>23.57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7,208,245.21</w:t>
            </w:r>
          </w:p>
        </w:tc>
        <w:tc>
          <w:tcPr>
            <w:tcW w:w="2431" w:type="dxa"/>
            <w:shd w:val="clear" w:color="auto" w:fill="auto"/>
            <w:vAlign w:val="center"/>
          </w:tcPr>
          <w:p>
            <w:pPr>
              <w:ind w:hanging="1"/>
              <w:jc w:val="right"/>
            </w:pPr>
            <w:r>
              <w:rPr>
                <w:b w:val="0"/>
                <w:i w:val="0"/>
                <w:strike w:val="0"/>
                <w:u w:val="none"/>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4,695,793.15</w:t>
            </w:r>
          </w:p>
        </w:tc>
        <w:tc>
          <w:tcPr>
            <w:tcW w:w="2431" w:type="dxa"/>
            <w:shd w:val="clear" w:color="auto" w:fill="auto"/>
            <w:vAlign w:val="center"/>
          </w:tcPr>
          <w:p>
            <w:pPr>
              <w:ind w:hanging="1"/>
              <w:jc w:val="right"/>
            </w:pPr>
            <w:r>
              <w:rPr>
                <w:b w:val="0"/>
                <w:i w:val="0"/>
                <w:strike w:val="0"/>
                <w:u w:val="none"/>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4,465,270.68</w:t>
            </w:r>
          </w:p>
        </w:tc>
        <w:tc>
          <w:tcPr>
            <w:tcW w:w="2431" w:type="dxa"/>
            <w:shd w:val="clear" w:color="auto" w:fill="auto"/>
            <w:vAlign w:val="center"/>
          </w:tcPr>
          <w:p>
            <w:pPr>
              <w:ind w:hanging="1"/>
              <w:jc w:val="right"/>
            </w:pPr>
            <w:r>
              <w:rPr>
                <w:b w:val="0"/>
                <w:i w:val="0"/>
                <w:strike w:val="0"/>
                <w:u w:val="none"/>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2,824,254.21</w:t>
            </w:r>
          </w:p>
        </w:tc>
        <w:tc>
          <w:tcPr>
            <w:tcW w:w="2431" w:type="dxa"/>
            <w:shd w:val="clear" w:color="auto" w:fill="auto"/>
            <w:vAlign w:val="center"/>
          </w:tcPr>
          <w:p>
            <w:pPr>
              <w:ind w:hanging="1"/>
              <w:jc w:val="right"/>
            </w:pPr>
            <w:r>
              <w:rPr>
                <w:b w:val="0"/>
                <w:i w:val="0"/>
                <w:strike w:val="0"/>
                <w:u w:val="none"/>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2,135,653.70</w:t>
            </w:r>
          </w:p>
        </w:tc>
        <w:tc>
          <w:tcPr>
            <w:tcW w:w="2431" w:type="dxa"/>
            <w:shd w:val="clear" w:color="auto" w:fill="auto"/>
            <w:vAlign w:val="center"/>
          </w:tcPr>
          <w:p>
            <w:pPr>
              <w:ind w:hanging="1"/>
              <w:jc w:val="right"/>
            </w:pPr>
            <w:r>
              <w:rPr>
                <w:b w:val="0"/>
                <w:i w:val="0"/>
                <w:strike w:val="0"/>
                <w:u w:val="none"/>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PR顺兴01</w:t>
            </w:r>
          </w:p>
        </w:tc>
        <w:tc>
          <w:tcPr>
            <w:tcW w:w="2693" w:type="dxa"/>
            <w:shd w:val="clear" w:color="auto" w:fill="auto"/>
            <w:vAlign w:val="center"/>
          </w:tcPr>
          <w:p>
            <w:pPr>
              <w:ind w:hanging="1"/>
              <w:jc w:val="right"/>
            </w:pPr>
            <w:r>
              <w:rPr>
                <w:b w:val="0"/>
                <w:i w:val="0"/>
                <w:strike w:val="0"/>
                <w:u w:val="none"/>
              </w:rPr>
              <w:t>1,504,673.97</w:t>
            </w:r>
          </w:p>
        </w:tc>
        <w:tc>
          <w:tcPr>
            <w:tcW w:w="2431" w:type="dxa"/>
            <w:shd w:val="clear" w:color="auto" w:fill="auto"/>
            <w:vAlign w:val="center"/>
          </w:tcPr>
          <w:p>
            <w:pPr>
              <w:ind w:hanging="1"/>
              <w:jc w:val="right"/>
            </w:pPr>
            <w:r>
              <w:rPr>
                <w:b w:val="0"/>
                <w:i w:val="0"/>
                <w:strike w:val="0"/>
                <w:u w:val="none"/>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PR龙岭债</w:t>
            </w:r>
          </w:p>
        </w:tc>
        <w:tc>
          <w:tcPr>
            <w:tcW w:w="2693" w:type="dxa"/>
            <w:shd w:val="clear" w:color="auto" w:fill="auto"/>
            <w:vAlign w:val="center"/>
          </w:tcPr>
          <w:p>
            <w:pPr>
              <w:ind w:hanging="1"/>
              <w:jc w:val="right"/>
            </w:pPr>
            <w:r>
              <w:rPr>
                <w:b w:val="0"/>
                <w:i w:val="0"/>
                <w:strike w:val="0"/>
                <w:u w:val="none"/>
              </w:rPr>
              <w:t>1,504,186.85</w:t>
            </w:r>
          </w:p>
        </w:tc>
        <w:tc>
          <w:tcPr>
            <w:tcW w:w="2431" w:type="dxa"/>
            <w:shd w:val="clear" w:color="auto" w:fill="auto"/>
            <w:vAlign w:val="center"/>
          </w:tcPr>
          <w:p>
            <w:pPr>
              <w:ind w:hanging="1"/>
              <w:jc w:val="right"/>
            </w:pPr>
            <w:r>
              <w:rPr>
                <w:b w:val="0"/>
                <w:i w:val="0"/>
                <w:strike w:val="0"/>
                <w:u w:val="none"/>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24湖南临港MTN001</w:t>
            </w:r>
          </w:p>
        </w:tc>
        <w:tc>
          <w:tcPr>
            <w:tcW w:w="2693" w:type="dxa"/>
            <w:shd w:val="clear" w:color="auto" w:fill="auto"/>
            <w:vAlign w:val="center"/>
          </w:tcPr>
          <w:p>
            <w:pPr>
              <w:ind w:hanging="1"/>
              <w:jc w:val="right"/>
            </w:pPr>
            <w:r>
              <w:rPr>
                <w:b w:val="0"/>
                <w:i w:val="0"/>
                <w:strike w:val="0"/>
                <w:u w:val="none"/>
              </w:rPr>
              <w:t>832,826.30</w:t>
            </w:r>
          </w:p>
        </w:tc>
        <w:tc>
          <w:tcPr>
            <w:tcW w:w="2431" w:type="dxa"/>
            <w:shd w:val="clear" w:color="auto" w:fill="auto"/>
            <w:vAlign w:val="center"/>
          </w:tcPr>
          <w:p>
            <w:pPr>
              <w:ind w:hanging="1"/>
              <w:jc w:val="right"/>
            </w:pPr>
            <w:r>
              <w:rPr>
                <w:b w:val="0"/>
                <w:i w:val="0"/>
                <w:strike w:val="0"/>
                <w:u w:val="none"/>
              </w:rPr>
              <w:t>1.13</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NK4-湖南银行马上消费金融20250723</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30,344,171.03</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41.25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7,208,245.21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9.80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4,695,793.15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4,465,270.68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6.07</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4,190,349.28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4,042,264.69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22恒丰银行永续债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2,989,972.92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2,135,653.70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23洛投03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1,703,889.92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25杭州联合农商永续债01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1,673,487.99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2.28</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731903861410632</w:t>
            </w:r>
          </w:p>
        </w:tc>
        <w:tc>
          <w:tcPr>
            <w:tcW w:w="2693" w:type="dxa"/>
            <w:shd w:val="clear" w:color="auto" w:fill="auto"/>
            <w:vAlign w:val="center"/>
          </w:tcPr>
          <w:p>
            <w:pPr>
              <w:spacing w:before="100" w:beforeAutospacing="1" w:after="100" w:afterAutospacing="1"/>
            </w:pPr>
            <w:r>
              <w:t>湖南银行股份有限公司-融智理财添利系列年开4号理财产品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NK4-湖南银行马上消费金融20250723</w:t>
            </w:r>
          </w:p>
        </w:tc>
        <w:tc>
          <w:tcPr>
            <w:tcW w:w="1336" w:type="dxa"/>
            <w:shd w:val="clear" w:color="auto" w:fill="auto"/>
            <w:vAlign w:val="center"/>
          </w:tcPr>
          <w:p>
            <w:pPr>
              <w:spacing w:before="100" w:beforeAutospacing="1" w:after="100" w:afterAutospacing="1"/>
            </w:pPr>
            <w:r>
              <w:t>马上消费金融股份有限公司</w:t>
            </w:r>
          </w:p>
        </w:tc>
        <w:tc>
          <w:tcPr>
            <w:tcW w:w="1295" w:type="dxa"/>
            <w:shd w:val="clear" w:color="auto" w:fill="auto"/>
            <w:vAlign w:val="center"/>
          </w:tcPr>
          <w:p>
            <w:pPr>
              <w:spacing w:before="100" w:beforeAutospacing="1" w:after="100" w:afterAutospacing="1"/>
            </w:pPr>
            <w:r>
              <w:t>187</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2.6</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8490365"/>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2026-01-23T03:24:46Z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