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融智理财添利系列年开7号理财产品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融智理财添利系列年开7号理财产品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C1136021000093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2021-10-19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83,724,000.00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[1.8%-3.3%]/年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100.17%</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15.94</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1,696,529.33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405,845.64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83,962,369.06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1.1594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83,962,369.06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1.1594</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49,782,598.20</w:t>
            </w:r>
          </w:p>
        </w:tc>
        <w:tc>
          <w:tcPr>
            <w:tcW w:w="1749" w:type="dxa"/>
            <w:shd w:val="clear" w:color="auto" w:fill="auto"/>
            <w:vAlign w:val="center"/>
          </w:tcPr>
          <w:p>
            <w:pPr>
              <w:jc w:val="right"/>
            </w:pPr>
            <w:r>
              <w:t>59.19</w:t>
            </w:r>
          </w:p>
        </w:tc>
        <w:tc>
          <w:tcPr>
            <w:tcW w:w="1653" w:type="dxa"/>
            <w:vAlign w:val="center"/>
          </w:tcPr>
          <w:p>
            <w:pPr>
              <w:jc w:val="right"/>
            </w:pPr>
            <w:r>
              <w:t>31,158,821.10</w:t>
            </w:r>
          </w:p>
        </w:tc>
        <w:tc>
          <w:tcPr>
            <w:tcW w:w="1705" w:type="dxa"/>
            <w:vAlign w:val="center"/>
          </w:tcPr>
          <w:p>
            <w:pPr>
              <w:jc w:val="right"/>
            </w:pPr>
            <w:r>
              <w:t>37.05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49,782,598.20</w:t>
            </w:r>
          </w:p>
        </w:tc>
        <w:tc>
          <w:tcPr>
            <w:tcW w:w="1749" w:type="dxa"/>
            <w:shd w:val="clear" w:color="auto" w:fill="auto"/>
            <w:vAlign w:val="center"/>
          </w:tcPr>
          <w:p>
            <w:pPr>
              <w:jc w:val="right"/>
            </w:pPr>
            <w:r>
              <w:t>59.19</w:t>
            </w:r>
          </w:p>
        </w:tc>
        <w:tc>
          <w:tcPr>
            <w:tcW w:w="1653" w:type="dxa"/>
            <w:vAlign w:val="center"/>
          </w:tcPr>
          <w:p>
            <w:pPr>
              <w:jc w:val="right"/>
            </w:pPr>
            <w:r>
              <w:t>31,158,821.10</w:t>
            </w:r>
          </w:p>
        </w:tc>
        <w:tc>
          <w:tcPr>
            <w:tcW w:w="1705" w:type="dxa"/>
            <w:vAlign w:val="center"/>
          </w:tcPr>
          <w:p>
            <w:pPr>
              <w:jc w:val="right"/>
            </w:pPr>
            <w:r>
              <w:t>37.05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3,000,195.95</w:t>
            </w:r>
          </w:p>
        </w:tc>
        <w:tc>
          <w:tcPr>
            <w:tcW w:w="1749" w:type="dxa"/>
            <w:shd w:val="clear" w:color="auto" w:fill="auto"/>
            <w:vAlign w:val="center"/>
          </w:tcPr>
          <w:p>
            <w:pPr>
              <w:jc w:val="right"/>
            </w:pPr>
            <w:r>
              <w:t>3.57</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1,119,092.64</w:t>
            </w:r>
          </w:p>
        </w:tc>
        <w:tc>
          <w:tcPr>
            <w:tcW w:w="1749" w:type="dxa"/>
            <w:shd w:val="clear" w:color="auto" w:fill="auto"/>
            <w:vAlign w:val="center"/>
          </w:tcPr>
          <w:p>
            <w:pPr>
              <w:jc w:val="right"/>
            </w:pPr>
            <w:r>
              <w:t>1.33</w:t>
            </w:r>
          </w:p>
        </w:tc>
        <w:tc>
          <w:tcPr>
            <w:tcW w:w="1653" w:type="dxa"/>
            <w:vAlign w:val="center"/>
          </w:tcPr>
          <w:p>
            <w:pPr>
              <w:jc w:val="right"/>
            </w:pPr>
            <w:r>
              <w:t>324,687.60</w:t>
            </w:r>
          </w:p>
        </w:tc>
        <w:tc>
          <w:tcPr>
            <w:tcW w:w="1705" w:type="dxa"/>
            <w:vAlign w:val="center"/>
          </w:tcPr>
          <w:p>
            <w:pPr>
              <w:jc w:val="right"/>
            </w:pPr>
            <w: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30,206,943.46</w:t>
            </w:r>
          </w:p>
        </w:tc>
        <w:tc>
          <w:tcPr>
            <w:tcW w:w="1749" w:type="dxa"/>
            <w:shd w:val="clear" w:color="auto" w:fill="auto"/>
            <w:vAlign w:val="center"/>
          </w:tcPr>
          <w:p>
            <w:pPr>
              <w:jc w:val="right"/>
            </w:pPr>
            <w:r>
              <w:t>35.91</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5.38</w:t>
            </w:r>
          </w:p>
        </w:tc>
        <w:tc>
          <w:tcPr>
            <w:tcW w:w="1749" w:type="dxa"/>
            <w:shd w:val="clear" w:color="auto" w:fill="auto"/>
            <w:vAlign w:val="center"/>
          </w:tcPr>
          <w:p>
            <w:pPr>
              <w:jc w:val="right"/>
            </w:pPr>
            <w:r>
              <w:t>0.00</w:t>
            </w:r>
          </w:p>
        </w:tc>
        <w:tc>
          <w:tcPr>
            <w:tcW w:w="1653" w:type="dxa"/>
            <w:vAlign w:val="center"/>
          </w:tcPr>
          <w:p>
            <w:pPr>
              <w:jc w:val="right"/>
            </w:pPr>
            <w:r>
              <w:t>12.46</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84,108,835.63</w:t>
            </w:r>
          </w:p>
        </w:tc>
        <w:tc>
          <w:tcPr>
            <w:tcW w:w="1749" w:type="dxa"/>
            <w:shd w:val="clear" w:color="auto" w:fill="auto"/>
          </w:tcPr>
          <w:p>
            <w:pPr>
              <w:jc w:val="right"/>
            </w:pPr>
            <w:r>
              <w:t>100.00</w:t>
            </w:r>
          </w:p>
        </w:tc>
        <w:tc>
          <w:tcPr>
            <w:tcW w:w="1653" w:type="dxa"/>
          </w:tcPr>
          <w:p>
            <w:pPr>
              <w:jc w:val="right"/>
            </w:pPr>
            <w:r>
              <w:t>31,483,521.16</w:t>
            </w:r>
          </w:p>
        </w:tc>
        <w:tc>
          <w:tcPr>
            <w:tcW w:w="1705" w:type="dxa"/>
          </w:tcPr>
          <w:p>
            <w:pPr>
              <w:jc w:val="right"/>
            </w:pPr>
            <w:r>
              <w:t>37.43</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6.94%；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博华固收3号资产管理计划</w:t>
            </w:r>
          </w:p>
        </w:tc>
        <w:tc>
          <w:tcPr>
            <w:tcW w:w="2693" w:type="dxa"/>
            <w:shd w:val="clear" w:color="auto" w:fill="auto"/>
            <w:vAlign w:val="center"/>
          </w:tcPr>
          <w:p>
            <w:pPr>
              <w:jc w:val="right"/>
            </w:pPr>
            <w:r>
              <w:t>19,787,128.71</w:t>
            </w:r>
          </w:p>
        </w:tc>
        <w:tc>
          <w:tcPr>
            <w:tcW w:w="2431" w:type="dxa"/>
            <w:shd w:val="clear" w:color="auto" w:fill="auto"/>
            <w:vAlign w:val="center"/>
          </w:tcPr>
          <w:p>
            <w:pPr>
              <w:jc w:val="right"/>
            </w:pPr>
            <w:r>
              <w:t>23.57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中信证券湘稳1号集合资产管理计划</w:t>
            </w:r>
          </w:p>
        </w:tc>
        <w:tc>
          <w:tcPr>
            <w:tcW w:w="2693" w:type="dxa"/>
            <w:shd w:val="clear" w:color="auto" w:fill="auto"/>
            <w:vAlign w:val="center"/>
          </w:tcPr>
          <w:p>
            <w:pPr>
              <w:ind w:hanging="1"/>
              <w:jc w:val="right"/>
            </w:pPr>
            <w:r>
              <w:rPr>
                <w:b w:val="0"/>
                <w:i w:val="0"/>
                <w:strike w:val="0"/>
                <w:u w:val="none"/>
              </w:rPr>
              <w:t>10,419,814.75</w:t>
            </w:r>
          </w:p>
        </w:tc>
        <w:tc>
          <w:tcPr>
            <w:tcW w:w="2431" w:type="dxa"/>
            <w:shd w:val="clear" w:color="auto" w:fill="auto"/>
            <w:vAlign w:val="center"/>
          </w:tcPr>
          <w:p>
            <w:pPr>
              <w:ind w:hanging="1"/>
              <w:jc w:val="right"/>
            </w:pPr>
            <w:r>
              <w:rPr>
                <w:b w:val="0"/>
                <w:i w:val="0"/>
                <w:strike w:val="0"/>
                <w:u w:val="none"/>
              </w:rPr>
              <w:t>12.41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21岳阳交投01</w:t>
            </w:r>
          </w:p>
        </w:tc>
        <w:tc>
          <w:tcPr>
            <w:tcW w:w="2693" w:type="dxa"/>
            <w:shd w:val="clear" w:color="auto" w:fill="auto"/>
            <w:vAlign w:val="center"/>
          </w:tcPr>
          <w:p>
            <w:pPr>
              <w:ind w:hanging="1"/>
              <w:jc w:val="right"/>
            </w:pPr>
            <w:r>
              <w:rPr>
                <w:b w:val="0"/>
                <w:i w:val="0"/>
                <w:strike w:val="0"/>
                <w:u w:val="none"/>
              </w:rPr>
              <w:t>7,456,464.66</w:t>
            </w:r>
          </w:p>
        </w:tc>
        <w:tc>
          <w:tcPr>
            <w:tcW w:w="2431" w:type="dxa"/>
            <w:shd w:val="clear" w:color="auto" w:fill="auto"/>
            <w:vAlign w:val="center"/>
          </w:tcPr>
          <w:p>
            <w:pPr>
              <w:ind w:hanging="1"/>
              <w:jc w:val="right"/>
            </w:pPr>
            <w:r>
              <w:rPr>
                <w:b w:val="0"/>
                <w:i w:val="0"/>
                <w:strike w:val="0"/>
                <w:u w:val="none"/>
              </w:rPr>
              <w:t>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23宁集01</w:t>
            </w:r>
          </w:p>
        </w:tc>
        <w:tc>
          <w:tcPr>
            <w:tcW w:w="2693" w:type="dxa"/>
            <w:shd w:val="clear" w:color="auto" w:fill="auto"/>
            <w:vAlign w:val="center"/>
          </w:tcPr>
          <w:p>
            <w:pPr>
              <w:ind w:hanging="1"/>
              <w:jc w:val="right"/>
            </w:pPr>
            <w:r>
              <w:rPr>
                <w:b w:val="0"/>
                <w:i w:val="0"/>
                <w:strike w:val="0"/>
                <w:u w:val="none"/>
              </w:rPr>
              <w:t>7,126,464.11</w:t>
            </w:r>
          </w:p>
        </w:tc>
        <w:tc>
          <w:tcPr>
            <w:tcW w:w="2431" w:type="dxa"/>
            <w:shd w:val="clear" w:color="auto" w:fill="auto"/>
            <w:vAlign w:val="center"/>
          </w:tcPr>
          <w:p>
            <w:pPr>
              <w:ind w:hanging="1"/>
              <w:jc w:val="right"/>
            </w:pPr>
            <w:r>
              <w:rPr>
                <w:b w:val="0"/>
                <w:i w:val="0"/>
                <w:strike w:val="0"/>
                <w:u w:val="none"/>
              </w:rPr>
              <w:t>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23洞庭资源PPN001</w:t>
            </w:r>
          </w:p>
        </w:tc>
        <w:tc>
          <w:tcPr>
            <w:tcW w:w="2693" w:type="dxa"/>
            <w:shd w:val="clear" w:color="auto" w:fill="auto"/>
            <w:vAlign w:val="center"/>
          </w:tcPr>
          <w:p>
            <w:pPr>
              <w:ind w:hanging="1"/>
              <w:jc w:val="right"/>
            </w:pPr>
            <w:r>
              <w:rPr>
                <w:b w:val="0"/>
                <w:i w:val="0"/>
                <w:strike w:val="0"/>
                <w:u w:val="none"/>
              </w:rPr>
              <w:t>6,991,514.25</w:t>
            </w:r>
          </w:p>
        </w:tc>
        <w:tc>
          <w:tcPr>
            <w:tcW w:w="2431" w:type="dxa"/>
            <w:shd w:val="clear" w:color="auto" w:fill="auto"/>
            <w:vAlign w:val="center"/>
          </w:tcPr>
          <w:p>
            <w:pPr>
              <w:ind w:hanging="1"/>
              <w:jc w:val="right"/>
            </w:pPr>
            <w:r>
              <w:rPr>
                <w:b w:val="0"/>
                <w:i w:val="0"/>
                <w:strike w:val="0"/>
                <w:u w:val="none"/>
              </w:rPr>
              <w:t>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23农发04</w:t>
            </w:r>
          </w:p>
        </w:tc>
        <w:tc>
          <w:tcPr>
            <w:tcW w:w="2693" w:type="dxa"/>
            <w:shd w:val="clear" w:color="auto" w:fill="auto"/>
            <w:vAlign w:val="center"/>
          </w:tcPr>
          <w:p>
            <w:pPr>
              <w:ind w:hanging="1"/>
              <w:jc w:val="right"/>
            </w:pPr>
            <w:r>
              <w:rPr>
                <w:b w:val="0"/>
                <w:i w:val="0"/>
                <w:strike w:val="0"/>
                <w:u w:val="none"/>
              </w:rPr>
              <w:t>4,711,713.21</w:t>
            </w:r>
          </w:p>
        </w:tc>
        <w:tc>
          <w:tcPr>
            <w:tcW w:w="2431" w:type="dxa"/>
            <w:shd w:val="clear" w:color="auto" w:fill="auto"/>
            <w:vAlign w:val="center"/>
          </w:tcPr>
          <w:p>
            <w:pPr>
              <w:ind w:hanging="1"/>
              <w:jc w:val="right"/>
            </w:pPr>
            <w:r>
              <w:rPr>
                <w:b w:val="0"/>
                <w:i w:val="0"/>
                <w:strike w:val="0"/>
                <w:u w:val="none"/>
              </w:rPr>
              <w:t>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24惠临01</w:t>
            </w:r>
          </w:p>
        </w:tc>
        <w:tc>
          <w:tcPr>
            <w:tcW w:w="2693" w:type="dxa"/>
            <w:shd w:val="clear" w:color="auto" w:fill="auto"/>
            <w:vAlign w:val="center"/>
          </w:tcPr>
          <w:p>
            <w:pPr>
              <w:ind w:hanging="1"/>
              <w:jc w:val="right"/>
            </w:pPr>
            <w:r>
              <w:rPr>
                <w:b w:val="0"/>
                <w:i w:val="0"/>
                <w:strike w:val="0"/>
                <w:u w:val="none"/>
              </w:rPr>
              <w:t>4,649,054.79</w:t>
            </w:r>
          </w:p>
        </w:tc>
        <w:tc>
          <w:tcPr>
            <w:tcW w:w="2431" w:type="dxa"/>
            <w:shd w:val="clear" w:color="auto" w:fill="auto"/>
            <w:vAlign w:val="center"/>
          </w:tcPr>
          <w:p>
            <w:pPr>
              <w:ind w:hanging="1"/>
              <w:jc w:val="right"/>
            </w:pPr>
            <w:r>
              <w:rPr>
                <w:b w:val="0"/>
                <w:i w:val="0"/>
                <w:strike w:val="0"/>
                <w:u w:val="none"/>
              </w:rPr>
              <w:t>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19邵东债</w:t>
            </w:r>
          </w:p>
        </w:tc>
        <w:tc>
          <w:tcPr>
            <w:tcW w:w="2693" w:type="dxa"/>
            <w:shd w:val="clear" w:color="auto" w:fill="auto"/>
            <w:vAlign w:val="center"/>
          </w:tcPr>
          <w:p>
            <w:pPr>
              <w:ind w:hanging="1"/>
              <w:jc w:val="right"/>
            </w:pPr>
            <w:r>
              <w:rPr>
                <w:b w:val="0"/>
                <w:i w:val="0"/>
                <w:strike w:val="0"/>
                <w:u w:val="none"/>
              </w:rPr>
              <w:t>3,563,849.26</w:t>
            </w:r>
          </w:p>
        </w:tc>
        <w:tc>
          <w:tcPr>
            <w:tcW w:w="2431" w:type="dxa"/>
            <w:shd w:val="clear" w:color="auto" w:fill="auto"/>
            <w:vAlign w:val="center"/>
          </w:tcPr>
          <w:p>
            <w:pPr>
              <w:ind w:hanging="1"/>
              <w:jc w:val="right"/>
            </w:pPr>
            <w:r>
              <w:rPr>
                <w:b w:val="0"/>
                <w:i w:val="0"/>
                <w:strike w:val="0"/>
                <w:u w:val="none"/>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21郑州银行永续债</w:t>
            </w:r>
          </w:p>
        </w:tc>
        <w:tc>
          <w:tcPr>
            <w:tcW w:w="2693" w:type="dxa"/>
            <w:shd w:val="clear" w:color="auto" w:fill="auto"/>
            <w:vAlign w:val="center"/>
          </w:tcPr>
          <w:p>
            <w:pPr>
              <w:ind w:hanging="1"/>
              <w:jc w:val="right"/>
            </w:pPr>
            <w:r>
              <w:rPr>
                <w:b w:val="0"/>
                <w:i w:val="0"/>
                <w:strike w:val="0"/>
                <w:u w:val="none"/>
              </w:rPr>
              <w:t>3,295,197.81</w:t>
            </w:r>
          </w:p>
        </w:tc>
        <w:tc>
          <w:tcPr>
            <w:tcW w:w="2431" w:type="dxa"/>
            <w:shd w:val="clear" w:color="auto" w:fill="auto"/>
            <w:vAlign w:val="center"/>
          </w:tcPr>
          <w:p>
            <w:pPr>
              <w:ind w:hanging="1"/>
              <w:jc w:val="right"/>
            </w:pPr>
            <w:r>
              <w:rPr>
                <w:b w:val="0"/>
                <w:i w:val="0"/>
                <w:strike w:val="0"/>
                <w:u w:val="none"/>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R005</w:t>
            </w:r>
          </w:p>
        </w:tc>
        <w:tc>
          <w:tcPr>
            <w:tcW w:w="2693" w:type="dxa"/>
            <w:shd w:val="clear" w:color="auto" w:fill="auto"/>
            <w:vAlign w:val="center"/>
          </w:tcPr>
          <w:p>
            <w:pPr>
              <w:ind w:hanging="1"/>
              <w:jc w:val="right"/>
            </w:pPr>
            <w:r>
              <w:rPr>
                <w:b w:val="0"/>
                <w:i w:val="0"/>
                <w:strike w:val="0"/>
                <w:u w:val="none"/>
              </w:rPr>
              <w:t>3,000,195.95</w:t>
            </w:r>
          </w:p>
        </w:tc>
        <w:tc>
          <w:tcPr>
            <w:tcW w:w="2431" w:type="dxa"/>
            <w:shd w:val="clear" w:color="auto" w:fill="auto"/>
            <w:vAlign w:val="center"/>
          </w:tcPr>
          <w:p>
            <w:pPr>
              <w:ind w:hanging="1"/>
              <w:jc w:val="right"/>
            </w:pPr>
            <w:r>
              <w:rPr>
                <w:b w:val="0"/>
                <w:i w:val="0"/>
                <w:strike w:val="0"/>
                <w:u w:val="none"/>
              </w:rPr>
              <w:t>3.57</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2" w:name="_GoBack" w:colFirst="0" w:colLast="0"/>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21岳阳交投01</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7,456,464.66</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8.88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23宁集01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7,126,464.11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8.49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23洞庭资源PPN001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6,991,514.25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8.33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23农发04</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4,711,713.21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5.61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24惠临01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4,649,054.79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5.54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21邵阳城投PPN001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3,746,862.08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4.46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19邵东债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3,563,849.26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4.24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21郑州银行永续债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3,295,197.81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3.92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R005</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3,000,195.95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3.57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23望城城投债02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2,518,824.55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3.00</w:t>
            </w:r>
          </w:p>
        </w:tc>
      </w:tr>
      <w:bookmarkEnd w:id="2"/>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731903861410321</w:t>
            </w:r>
          </w:p>
        </w:tc>
        <w:tc>
          <w:tcPr>
            <w:tcW w:w="2693" w:type="dxa"/>
            <w:shd w:val="clear" w:color="auto" w:fill="auto"/>
            <w:vAlign w:val="center"/>
          </w:tcPr>
          <w:p>
            <w:pPr>
              <w:spacing w:before="100" w:beforeAutospacing="1" w:after="100" w:afterAutospacing="1"/>
            </w:pPr>
            <w:r>
              <w:t>湖南银行股份有限公司-融智理财添利系列年开7号理财产品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A52783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1</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2026-01-23T03:29:16Z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