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融智理财添利系列-D90-6理财产品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融智理财添利系列-D90-6理财产品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69,242,850.13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[1.5%-2.5%]/年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100.15%</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17.91</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194,396.41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361,946.13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81,650,736.32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81,650,736.32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1.1791</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39,725,356.49</w:t>
            </w:r>
          </w:p>
        </w:tc>
        <w:tc>
          <w:tcPr>
            <w:tcW w:w="1749" w:type="dxa"/>
            <w:shd w:val="clear" w:color="auto" w:fill="auto"/>
            <w:vAlign w:val="center"/>
          </w:tcPr>
          <w:p>
            <w:pPr>
              <w:jc w:val="right"/>
            </w:pPr>
            <w:r>
              <w:t>48.58</w:t>
            </w:r>
          </w:p>
        </w:tc>
        <w:tc>
          <w:tcPr>
            <w:tcW w:w="1653" w:type="dxa"/>
            <w:vAlign w:val="center"/>
          </w:tcPr>
          <w:p>
            <w:pPr>
              <w:jc w:val="right"/>
            </w:pPr>
            <w:r>
              <w:t>11,902,395.26</w:t>
            </w:r>
          </w:p>
        </w:tc>
        <w:tc>
          <w:tcPr>
            <w:tcW w:w="1705" w:type="dxa"/>
            <w:vAlign w:val="center"/>
          </w:tcPr>
          <w:p>
            <w:pPr>
              <w:jc w:val="right"/>
            </w:pPr>
            <w:r>
              <w:t>14.55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39,725,356.49</w:t>
            </w:r>
          </w:p>
        </w:tc>
        <w:tc>
          <w:tcPr>
            <w:tcW w:w="1749" w:type="dxa"/>
            <w:shd w:val="clear" w:color="auto" w:fill="auto"/>
            <w:vAlign w:val="center"/>
          </w:tcPr>
          <w:p>
            <w:pPr>
              <w:jc w:val="right"/>
            </w:pPr>
            <w:r>
              <w:t>48.58</w:t>
            </w:r>
          </w:p>
        </w:tc>
        <w:tc>
          <w:tcPr>
            <w:tcW w:w="1653" w:type="dxa"/>
            <w:vAlign w:val="center"/>
          </w:tcPr>
          <w:p>
            <w:pPr>
              <w:jc w:val="right"/>
            </w:pPr>
            <w:r>
              <w:t>11,902,395.26</w:t>
            </w:r>
          </w:p>
        </w:tc>
        <w:tc>
          <w:tcPr>
            <w:tcW w:w="1705" w:type="dxa"/>
            <w:vAlign w:val="center"/>
          </w:tcPr>
          <w:p>
            <w:pPr>
              <w:jc w:val="right"/>
            </w:pPr>
            <w:r>
              <w:t>14.55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630,026.74</w:t>
            </w:r>
          </w:p>
        </w:tc>
        <w:tc>
          <w:tcPr>
            <w:tcW w:w="1749" w:type="dxa"/>
            <w:shd w:val="clear" w:color="auto" w:fill="auto"/>
            <w:vAlign w:val="center"/>
          </w:tcPr>
          <w:p>
            <w:pPr>
              <w:jc w:val="right"/>
            </w:pPr>
            <w:r>
              <w:t>0.77</w:t>
            </w:r>
          </w:p>
        </w:tc>
        <w:tc>
          <w:tcPr>
            <w:tcW w:w="1653" w:type="dxa"/>
            <w:vAlign w:val="center"/>
          </w:tcPr>
          <w:p>
            <w:pPr>
              <w:jc w:val="right"/>
            </w:pPr>
            <w:r>
              <w:t>130,332.91</w:t>
            </w:r>
          </w:p>
        </w:tc>
        <w:tc>
          <w:tcPr>
            <w:tcW w:w="1705" w:type="dxa"/>
            <w:vAlign w:val="center"/>
          </w:tcPr>
          <w:p>
            <w:pPr>
              <w:jc w:val="right"/>
            </w:pPr>
            <w: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11,306,930.69</w:t>
            </w:r>
          </w:p>
        </w:tc>
        <w:tc>
          <w:tcPr>
            <w:tcW w:w="1749" w:type="dxa"/>
            <w:shd w:val="clear" w:color="auto" w:fill="auto"/>
            <w:vAlign w:val="center"/>
          </w:tcPr>
          <w:p>
            <w:pPr>
              <w:jc w:val="right"/>
            </w:pPr>
            <w:r>
              <w:t>13.83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30,113,223.00</w:t>
            </w:r>
          </w:p>
        </w:tc>
        <w:tc>
          <w:tcPr>
            <w:tcW w:w="1749" w:type="dxa"/>
            <w:shd w:val="clear" w:color="auto" w:fill="auto"/>
            <w:vAlign w:val="center"/>
          </w:tcPr>
          <w:p>
            <w:pPr>
              <w:jc w:val="right"/>
            </w:pPr>
            <w:r>
              <w:t>36.82</w:t>
            </w:r>
          </w:p>
        </w:tc>
        <w:tc>
          <w:tcPr>
            <w:tcW w:w="1653" w:type="dxa"/>
            <w:vAlign w:val="center"/>
          </w:tcPr>
          <w:p>
            <w:pPr>
              <w:jc w:val="right"/>
            </w:pPr>
            <w:r>
              <w:t>7.12</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81,775,536.92</w:t>
            </w:r>
          </w:p>
        </w:tc>
        <w:tc>
          <w:tcPr>
            <w:tcW w:w="1749" w:type="dxa"/>
            <w:shd w:val="clear" w:color="auto" w:fill="auto"/>
          </w:tcPr>
          <w:p>
            <w:pPr>
              <w:jc w:val="right"/>
            </w:pPr>
            <w:r>
              <w:t>100.00</w:t>
            </w:r>
          </w:p>
        </w:tc>
        <w:tc>
          <w:tcPr>
            <w:tcW w:w="1653" w:type="dxa"/>
          </w:tcPr>
          <w:p>
            <w:pPr>
              <w:jc w:val="right"/>
            </w:pPr>
            <w:r>
              <w:t>12,032,735.30</w:t>
            </w:r>
          </w:p>
        </w:tc>
        <w:tc>
          <w:tcPr>
            <w:tcW w:w="1705" w:type="dxa"/>
          </w:tcPr>
          <w:p>
            <w:pPr>
              <w:jc w:val="right"/>
            </w:pPr>
            <w:r>
              <w:t>14.71</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7.94%；直接或间接持有的非标准化债权资产占比36.88%，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906-湖南银行海尔消费金融20251021</w:t>
            </w:r>
          </w:p>
        </w:tc>
        <w:tc>
          <w:tcPr>
            <w:tcW w:w="2693" w:type="dxa"/>
            <w:shd w:val="clear" w:color="auto" w:fill="auto"/>
            <w:vAlign w:val="center"/>
          </w:tcPr>
          <w:p>
            <w:pPr>
              <w:jc w:val="right"/>
            </w:pPr>
            <w:r>
              <w:t>30,113,223.00</w:t>
            </w:r>
          </w:p>
        </w:tc>
        <w:tc>
          <w:tcPr>
            <w:tcW w:w="2431" w:type="dxa"/>
            <w:shd w:val="clear" w:color="auto" w:fill="auto"/>
            <w:vAlign w:val="center"/>
          </w:tcPr>
          <w:p>
            <w:pPr>
              <w:jc w:val="right"/>
            </w:pPr>
            <w:r>
              <w:t>36.88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11,306,930.69</w:t>
            </w:r>
          </w:p>
        </w:tc>
        <w:tc>
          <w:tcPr>
            <w:tcW w:w="2431" w:type="dxa"/>
            <w:shd w:val="clear" w:color="auto" w:fill="auto"/>
            <w:vAlign w:val="center"/>
          </w:tcPr>
          <w:p>
            <w:pPr>
              <w:ind w:hanging="1"/>
              <w:jc w:val="right"/>
            </w:pPr>
            <w:r>
              <w:rPr>
                <w:b w:val="0"/>
                <w:i w:val="0"/>
                <w:strike w:val="0"/>
                <w:u w:val="none"/>
              </w:rPr>
              <w:t>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5,253,095.89</w:t>
            </w:r>
          </w:p>
        </w:tc>
        <w:tc>
          <w:tcPr>
            <w:tcW w:w="2431" w:type="dxa"/>
            <w:shd w:val="clear" w:color="auto" w:fill="auto"/>
            <w:vAlign w:val="center"/>
          </w:tcPr>
          <w:p>
            <w:pPr>
              <w:ind w:hanging="1"/>
              <w:jc w:val="right"/>
            </w:pPr>
            <w:r>
              <w:rPr>
                <w:b w:val="0"/>
                <w:i w:val="0"/>
                <w:strike w:val="0"/>
                <w:u w:val="none"/>
              </w:rPr>
              <w:t>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5,205,191.78</w:t>
            </w:r>
          </w:p>
        </w:tc>
        <w:tc>
          <w:tcPr>
            <w:tcW w:w="2431" w:type="dxa"/>
            <w:shd w:val="clear" w:color="auto" w:fill="auto"/>
            <w:vAlign w:val="center"/>
          </w:tcPr>
          <w:p>
            <w:pPr>
              <w:ind w:hanging="1"/>
              <w:jc w:val="right"/>
            </w:pPr>
            <w:r>
              <w:rPr>
                <w:b w:val="0"/>
                <w:i w:val="0"/>
                <w:strike w:val="0"/>
                <w:u w:val="none"/>
              </w:rP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23株发02</w:t>
            </w:r>
          </w:p>
        </w:tc>
        <w:tc>
          <w:tcPr>
            <w:tcW w:w="2693" w:type="dxa"/>
            <w:shd w:val="clear" w:color="auto" w:fill="auto"/>
            <w:vAlign w:val="center"/>
          </w:tcPr>
          <w:p>
            <w:pPr>
              <w:ind w:hanging="1"/>
              <w:jc w:val="right"/>
            </w:pPr>
            <w:r>
              <w:rPr>
                <w:b w:val="0"/>
                <w:i w:val="0"/>
                <w:strike w:val="0"/>
                <w:u w:val="none"/>
              </w:rPr>
              <w:t>4,712,911.64</w:t>
            </w:r>
          </w:p>
        </w:tc>
        <w:tc>
          <w:tcPr>
            <w:tcW w:w="2431" w:type="dxa"/>
            <w:shd w:val="clear" w:color="auto" w:fill="auto"/>
            <w:vAlign w:val="center"/>
          </w:tcPr>
          <w:p>
            <w:pPr>
              <w:ind w:hanging="1"/>
              <w:jc w:val="right"/>
            </w:pPr>
            <w:r>
              <w:rPr>
                <w:b w:val="0"/>
                <w:i w:val="0"/>
                <w:strike w:val="0"/>
                <w:u w:val="none"/>
              </w:rPr>
              <w:t>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4,327,366.85</w:t>
            </w:r>
          </w:p>
        </w:tc>
        <w:tc>
          <w:tcPr>
            <w:tcW w:w="2431" w:type="dxa"/>
            <w:shd w:val="clear" w:color="auto" w:fill="auto"/>
            <w:vAlign w:val="center"/>
          </w:tcPr>
          <w:p>
            <w:pPr>
              <w:ind w:hanging="1"/>
              <w:jc w:val="right"/>
            </w:pPr>
            <w:r>
              <w:rPr>
                <w:b w:val="0"/>
                <w:i w:val="0"/>
                <w:strike w:val="0"/>
                <w:u w:val="none"/>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4,238,619.18</w:t>
            </w:r>
          </w:p>
        </w:tc>
        <w:tc>
          <w:tcPr>
            <w:tcW w:w="2431" w:type="dxa"/>
            <w:shd w:val="clear" w:color="auto" w:fill="auto"/>
            <w:vAlign w:val="center"/>
          </w:tcPr>
          <w:p>
            <w:pPr>
              <w:ind w:hanging="1"/>
              <w:jc w:val="right"/>
            </w:pPr>
            <w:r>
              <w:rPr>
                <w:b w:val="0"/>
                <w:i w:val="0"/>
                <w:strike w:val="0"/>
                <w:u w:val="none"/>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23永城02</w:t>
            </w:r>
          </w:p>
        </w:tc>
        <w:tc>
          <w:tcPr>
            <w:tcW w:w="2693" w:type="dxa"/>
            <w:shd w:val="clear" w:color="auto" w:fill="auto"/>
            <w:vAlign w:val="center"/>
          </w:tcPr>
          <w:p>
            <w:pPr>
              <w:ind w:hanging="1"/>
              <w:jc w:val="right"/>
            </w:pPr>
            <w:r>
              <w:rPr>
                <w:b w:val="0"/>
                <w:i w:val="0"/>
                <w:strike w:val="0"/>
                <w:u w:val="none"/>
              </w:rPr>
              <w:t>4,174,965.48</w:t>
            </w:r>
          </w:p>
        </w:tc>
        <w:tc>
          <w:tcPr>
            <w:tcW w:w="2431" w:type="dxa"/>
            <w:shd w:val="clear" w:color="auto" w:fill="auto"/>
            <w:vAlign w:val="center"/>
          </w:tcPr>
          <w:p>
            <w:pPr>
              <w:ind w:hanging="1"/>
              <w:jc w:val="right"/>
            </w:pPr>
            <w:r>
              <w:rPr>
                <w:b w:val="0"/>
                <w:i w:val="0"/>
                <w:strike w:val="0"/>
                <w:u w:val="none"/>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4,132,996.16</w:t>
            </w:r>
          </w:p>
        </w:tc>
        <w:tc>
          <w:tcPr>
            <w:tcW w:w="2431" w:type="dxa"/>
            <w:shd w:val="clear" w:color="auto" w:fill="auto"/>
            <w:vAlign w:val="center"/>
          </w:tcPr>
          <w:p>
            <w:pPr>
              <w:ind w:hanging="1"/>
              <w:jc w:val="right"/>
            </w:pPr>
            <w:r>
              <w:rPr>
                <w:b w:val="0"/>
                <w:i w:val="0"/>
                <w:strike w:val="0"/>
                <w:u w:val="none"/>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22金洲专项02</w:t>
            </w:r>
          </w:p>
        </w:tc>
        <w:tc>
          <w:tcPr>
            <w:tcW w:w="2693" w:type="dxa"/>
            <w:shd w:val="clear" w:color="auto" w:fill="auto"/>
            <w:vAlign w:val="center"/>
          </w:tcPr>
          <w:p>
            <w:pPr>
              <w:ind w:hanging="1"/>
              <w:jc w:val="right"/>
            </w:pPr>
            <w:r>
              <w:rPr>
                <w:b w:val="0"/>
                <w:i w:val="0"/>
                <w:strike w:val="0"/>
                <w:u w:val="none"/>
              </w:rPr>
              <w:t>2,453,478.08</w:t>
            </w:r>
          </w:p>
        </w:tc>
        <w:tc>
          <w:tcPr>
            <w:tcW w:w="2431" w:type="dxa"/>
            <w:shd w:val="clear" w:color="auto" w:fill="auto"/>
            <w:vAlign w:val="center"/>
          </w:tcPr>
          <w:p>
            <w:pPr>
              <w:ind w:hanging="1"/>
              <w:jc w:val="right"/>
            </w:pPr>
            <w:r>
              <w:rPr>
                <w:b w:val="0"/>
                <w:i w:val="0"/>
                <w:strike w:val="0"/>
                <w:u w:val="none"/>
              </w:rPr>
              <w:t>3.00</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906-湖南银行海尔消费金融20251021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30,113,223.00</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36.88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5,253,095.89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5,205,191.78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23株发02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4,712,911.64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4,327,366.85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4,238,619.18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23永城02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4,174,965.48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4,132,996.16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22金洲专项02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2,453,478.08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23益型01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1,572,045.21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1.93</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731903861410112</w:t>
            </w:r>
          </w:p>
        </w:tc>
        <w:tc>
          <w:tcPr>
            <w:tcW w:w="2693" w:type="dxa"/>
            <w:shd w:val="clear" w:color="auto" w:fill="auto"/>
            <w:vAlign w:val="center"/>
          </w:tcPr>
          <w:p>
            <w:pPr>
              <w:spacing w:before="100" w:beforeAutospacing="1" w:after="100" w:afterAutospacing="1"/>
            </w:pPr>
            <w:r>
              <w:t>湖南银行股份有限公司-融智理财添利系列-D90-6理财产品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906-湖南银行海尔消费金融20251021</w:t>
            </w:r>
          </w:p>
        </w:tc>
        <w:tc>
          <w:tcPr>
            <w:tcW w:w="1336" w:type="dxa"/>
            <w:shd w:val="clear" w:color="auto" w:fill="auto"/>
            <w:vAlign w:val="center"/>
          </w:tcPr>
          <w:p>
            <w:pPr>
              <w:spacing w:before="100" w:beforeAutospacing="1" w:after="100" w:afterAutospacing="1"/>
            </w:pPr>
            <w:r>
              <w:t>海尔消费金融有限公司</w:t>
            </w:r>
          </w:p>
        </w:tc>
        <w:tc>
          <w:tcPr>
            <w:tcW w:w="1295" w:type="dxa"/>
            <w:shd w:val="clear" w:color="auto" w:fill="auto"/>
            <w:vAlign w:val="center"/>
          </w:tcPr>
          <w:p>
            <w:pPr>
              <w:spacing w:before="100" w:beforeAutospacing="1" w:after="100" w:afterAutospacing="1"/>
            </w:pPr>
            <w:r>
              <w:t>13</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7DC17A50"/>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2026-01-22T08:08:02Z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