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融智理财添利系列-D90-5理财产品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融智理财添利系列-D90-5理财产品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91,680,832.03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[1.5%-2.5%]/年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100.06%</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17.75</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272,793.98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486,837.05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107,962,201.39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107,962,201.39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1.1775</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bookmarkStart w:id="2" w:name="OLE_LINK1" w:colFirst="2" w:colLast="5"/>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75,747,612.94</w:t>
            </w:r>
          </w:p>
        </w:tc>
        <w:tc>
          <w:tcPr>
            <w:tcW w:w="1749" w:type="dxa"/>
            <w:shd w:val="clear" w:color="auto" w:fill="auto"/>
            <w:vAlign w:val="center"/>
          </w:tcPr>
          <w:p>
            <w:pPr>
              <w:jc w:val="right"/>
            </w:pPr>
            <w:r>
              <w:t>70.12</w:t>
            </w:r>
          </w:p>
        </w:tc>
        <w:tc>
          <w:tcPr>
            <w:tcW w:w="1653" w:type="dxa"/>
            <w:vAlign w:val="center"/>
          </w:tcPr>
          <w:p>
            <w:pPr>
              <w:jc w:val="right"/>
            </w:pPr>
            <w:r>
              <w:t>27,281,983.19</w:t>
            </w:r>
          </w:p>
        </w:tc>
        <w:tc>
          <w:tcPr>
            <w:tcW w:w="1705" w:type="dxa"/>
            <w:vAlign w:val="center"/>
          </w:tcPr>
          <w:p>
            <w:pPr>
              <w:jc w:val="right"/>
            </w:pPr>
            <w:r>
              <w:t>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75,747,612.94</w:t>
            </w:r>
          </w:p>
        </w:tc>
        <w:tc>
          <w:tcPr>
            <w:tcW w:w="1749" w:type="dxa"/>
            <w:shd w:val="clear" w:color="auto" w:fill="auto"/>
            <w:vAlign w:val="center"/>
          </w:tcPr>
          <w:p>
            <w:pPr>
              <w:jc w:val="right"/>
            </w:pPr>
            <w:r>
              <w:t>70.12</w:t>
            </w:r>
          </w:p>
        </w:tc>
        <w:tc>
          <w:tcPr>
            <w:tcW w:w="1653" w:type="dxa"/>
            <w:vAlign w:val="center"/>
          </w:tcPr>
          <w:p>
            <w:pPr>
              <w:jc w:val="right"/>
            </w:pPr>
            <w:r>
              <w:t>27,281,983.19</w:t>
            </w:r>
          </w:p>
        </w:tc>
        <w:tc>
          <w:tcPr>
            <w:tcW w:w="1705" w:type="dxa"/>
            <w:vAlign w:val="center"/>
          </w:tcPr>
          <w:p>
            <w:pPr>
              <w:jc w:val="right"/>
            </w:pPr>
            <w:r>
              <w:t>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5,000,326.59</w:t>
            </w:r>
          </w:p>
        </w:tc>
        <w:tc>
          <w:tcPr>
            <w:tcW w:w="1749" w:type="dxa"/>
            <w:shd w:val="clear" w:color="auto" w:fill="auto"/>
            <w:vAlign w:val="center"/>
          </w:tcPr>
          <w:p>
            <w:pPr>
              <w:jc w:val="right"/>
            </w:pPr>
            <w:r>
              <w:t>4.63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330,460.04</w:t>
            </w:r>
          </w:p>
        </w:tc>
        <w:tc>
          <w:tcPr>
            <w:tcW w:w="1749" w:type="dxa"/>
            <w:shd w:val="clear" w:color="auto" w:fill="auto"/>
            <w:vAlign w:val="center"/>
          </w:tcPr>
          <w:p>
            <w:pPr>
              <w:jc w:val="right"/>
            </w:pPr>
            <w:r>
              <w:t>0.31</w:t>
            </w:r>
          </w:p>
        </w:tc>
        <w:tc>
          <w:tcPr>
            <w:tcW w:w="1653" w:type="dxa"/>
            <w:vAlign w:val="center"/>
          </w:tcPr>
          <w:p>
            <w:pPr>
              <w:jc w:val="right"/>
            </w:pPr>
            <w:r>
              <w:t>341,804.90</w:t>
            </w:r>
          </w:p>
        </w:tc>
        <w:tc>
          <w:tcPr>
            <w:tcW w:w="1705" w:type="dxa"/>
            <w:vAlign w:val="center"/>
          </w:tcPr>
          <w:p>
            <w:pPr>
              <w:jc w:val="right"/>
            </w:pPr>
            <w: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26,947,532.92</w:t>
            </w:r>
          </w:p>
        </w:tc>
        <w:tc>
          <w:tcPr>
            <w:tcW w:w="1749" w:type="dxa"/>
            <w:shd w:val="clear" w:color="auto" w:fill="auto"/>
            <w:vAlign w:val="center"/>
          </w:tcPr>
          <w:p>
            <w:pPr>
              <w:jc w:val="right"/>
            </w:pPr>
            <w:r>
              <w:t>24.95</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7.03</w:t>
            </w:r>
          </w:p>
        </w:tc>
        <w:tc>
          <w:tcPr>
            <w:tcW w:w="1749" w:type="dxa"/>
            <w:shd w:val="clear" w:color="auto" w:fill="auto"/>
            <w:vAlign w:val="center"/>
          </w:tcPr>
          <w:p>
            <w:pPr>
              <w:jc w:val="right"/>
            </w:pPr>
            <w:r>
              <w:t>0.00</w:t>
            </w:r>
          </w:p>
        </w:tc>
        <w:tc>
          <w:tcPr>
            <w:tcW w:w="1653" w:type="dxa"/>
            <w:vAlign w:val="center"/>
          </w:tcPr>
          <w:p>
            <w:pPr>
              <w:jc w:val="right"/>
            </w:pPr>
            <w:r>
              <w:t>261,974.11</w:t>
            </w:r>
          </w:p>
        </w:tc>
        <w:tc>
          <w:tcPr>
            <w:tcW w:w="1705" w:type="dxa"/>
            <w:vAlign w:val="center"/>
          </w:tcPr>
          <w:p>
            <w:pPr>
              <w:jc w:val="right"/>
            </w:pPr>
            <w: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108,025,939.52</w:t>
            </w:r>
          </w:p>
        </w:tc>
        <w:tc>
          <w:tcPr>
            <w:tcW w:w="1749" w:type="dxa"/>
            <w:shd w:val="clear" w:color="auto" w:fill="auto"/>
          </w:tcPr>
          <w:p>
            <w:pPr>
              <w:jc w:val="right"/>
            </w:pPr>
            <w:r>
              <w:t>100.00</w:t>
            </w:r>
          </w:p>
        </w:tc>
        <w:tc>
          <w:tcPr>
            <w:tcW w:w="1653" w:type="dxa"/>
          </w:tcPr>
          <w:p>
            <w:pPr>
              <w:jc w:val="right"/>
            </w:pPr>
            <w:r>
              <w:t>27,885,762.20</w:t>
            </w:r>
          </w:p>
        </w:tc>
        <w:tc>
          <w:tcPr>
            <w:tcW w:w="1705" w:type="dxa"/>
          </w:tcPr>
          <w:p>
            <w:pPr>
              <w:jc w:val="right"/>
            </w:pPr>
            <w:r>
              <w:t>25.81</w:t>
            </w:r>
          </w:p>
        </w:tc>
      </w:tr>
      <w:bookmarkEnd w:id="2"/>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5.90%；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博华固收3号资产管理计划</w:t>
            </w:r>
          </w:p>
        </w:tc>
        <w:tc>
          <w:tcPr>
            <w:tcW w:w="2693" w:type="dxa"/>
            <w:shd w:val="clear" w:color="auto" w:fill="auto"/>
            <w:vAlign w:val="center"/>
          </w:tcPr>
          <w:p>
            <w:pPr>
              <w:jc w:val="right"/>
            </w:pPr>
            <w:r>
              <w:t>14,520,814.37</w:t>
            </w:r>
          </w:p>
        </w:tc>
        <w:tc>
          <w:tcPr>
            <w:tcW w:w="2431" w:type="dxa"/>
            <w:shd w:val="clear" w:color="auto" w:fill="auto"/>
            <w:vAlign w:val="center"/>
          </w:tcPr>
          <w:p>
            <w:pPr>
              <w:jc w:val="right"/>
            </w:pPr>
            <w:r>
              <w:t>13.45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华夏纯债3号</w:t>
            </w:r>
          </w:p>
        </w:tc>
        <w:tc>
          <w:tcPr>
            <w:tcW w:w="2693" w:type="dxa"/>
            <w:shd w:val="clear" w:color="auto" w:fill="auto"/>
            <w:vAlign w:val="center"/>
          </w:tcPr>
          <w:p>
            <w:pPr>
              <w:ind w:hanging="1"/>
              <w:jc w:val="right"/>
            </w:pPr>
            <w:r>
              <w:rPr>
                <w:b w:val="0"/>
                <w:i w:val="0"/>
                <w:strike w:val="0"/>
                <w:u w:val="none"/>
              </w:rPr>
              <w:t>12,426,718.55</w:t>
            </w:r>
          </w:p>
        </w:tc>
        <w:tc>
          <w:tcPr>
            <w:tcW w:w="2431" w:type="dxa"/>
            <w:shd w:val="clear" w:color="auto" w:fill="auto"/>
            <w:vAlign w:val="center"/>
          </w:tcPr>
          <w:p>
            <w:pPr>
              <w:ind w:hanging="1"/>
              <w:jc w:val="right"/>
            </w:pPr>
            <w:r>
              <w:rPr>
                <w:b w:val="0"/>
                <w:i w:val="0"/>
                <w:strike w:val="0"/>
                <w:u w:val="none"/>
              </w:rPr>
              <w:t>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9,748,824.11</w:t>
            </w:r>
          </w:p>
        </w:tc>
        <w:tc>
          <w:tcPr>
            <w:tcW w:w="2431" w:type="dxa"/>
            <w:shd w:val="clear" w:color="auto" w:fill="auto"/>
            <w:vAlign w:val="center"/>
          </w:tcPr>
          <w:p>
            <w:pPr>
              <w:ind w:hanging="1"/>
              <w:jc w:val="right"/>
            </w:pPr>
            <w:r>
              <w:rPr>
                <w:b w:val="0"/>
                <w:i w:val="0"/>
                <w:strike w:val="0"/>
                <w:u w:val="none"/>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21邵阳城投PPN001</w:t>
            </w:r>
          </w:p>
        </w:tc>
        <w:tc>
          <w:tcPr>
            <w:tcW w:w="2693" w:type="dxa"/>
            <w:shd w:val="clear" w:color="auto" w:fill="auto"/>
            <w:vAlign w:val="center"/>
          </w:tcPr>
          <w:p>
            <w:pPr>
              <w:ind w:hanging="1"/>
              <w:jc w:val="right"/>
            </w:pPr>
            <w:r>
              <w:rPr>
                <w:b w:val="0"/>
                <w:i w:val="0"/>
                <w:strike w:val="0"/>
                <w:u w:val="none"/>
              </w:rPr>
              <w:t>9,725,917.81</w:t>
            </w:r>
          </w:p>
        </w:tc>
        <w:tc>
          <w:tcPr>
            <w:tcW w:w="2431" w:type="dxa"/>
            <w:shd w:val="clear" w:color="auto" w:fill="auto"/>
            <w:vAlign w:val="center"/>
          </w:tcPr>
          <w:p>
            <w:pPr>
              <w:ind w:hanging="1"/>
              <w:jc w:val="right"/>
            </w:pPr>
            <w:r>
              <w:rPr>
                <w:b w:val="0"/>
                <w:i w:val="0"/>
                <w:strike w:val="0"/>
                <w:u w:val="none"/>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21桂林银行二级01</w:t>
            </w:r>
          </w:p>
        </w:tc>
        <w:tc>
          <w:tcPr>
            <w:tcW w:w="2693" w:type="dxa"/>
            <w:shd w:val="clear" w:color="auto" w:fill="auto"/>
            <w:vAlign w:val="center"/>
          </w:tcPr>
          <w:p>
            <w:pPr>
              <w:ind w:hanging="1"/>
              <w:jc w:val="right"/>
            </w:pPr>
            <w:r>
              <w:rPr>
                <w:b w:val="0"/>
                <w:i w:val="0"/>
                <w:strike w:val="0"/>
                <w:u w:val="none"/>
              </w:rPr>
              <w:t>9,672,267.53</w:t>
            </w:r>
          </w:p>
        </w:tc>
        <w:tc>
          <w:tcPr>
            <w:tcW w:w="2431" w:type="dxa"/>
            <w:shd w:val="clear" w:color="auto" w:fill="auto"/>
            <w:vAlign w:val="center"/>
          </w:tcPr>
          <w:p>
            <w:pPr>
              <w:ind w:hanging="1"/>
              <w:jc w:val="right"/>
            </w:pPr>
            <w:r>
              <w:rPr>
                <w:b w:val="0"/>
                <w:i w:val="0"/>
                <w:strike w:val="0"/>
                <w:u w:val="none"/>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7,039,148.49</w:t>
            </w:r>
          </w:p>
        </w:tc>
        <w:tc>
          <w:tcPr>
            <w:tcW w:w="2431" w:type="dxa"/>
            <w:shd w:val="clear" w:color="auto" w:fill="auto"/>
            <w:vAlign w:val="center"/>
          </w:tcPr>
          <w:p>
            <w:pPr>
              <w:ind w:hanging="1"/>
              <w:jc w:val="right"/>
            </w:pPr>
            <w:r>
              <w:rPr>
                <w:b w:val="0"/>
                <w:i w:val="0"/>
                <w:strike w:val="0"/>
                <w:u w:val="none"/>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6,038,186.30</w:t>
            </w:r>
          </w:p>
        </w:tc>
        <w:tc>
          <w:tcPr>
            <w:tcW w:w="2431" w:type="dxa"/>
            <w:shd w:val="clear" w:color="auto" w:fill="auto"/>
            <w:vAlign w:val="center"/>
          </w:tcPr>
          <w:p>
            <w:pPr>
              <w:ind w:hanging="1"/>
              <w:jc w:val="right"/>
            </w:pPr>
            <w:r>
              <w:rPr>
                <w:b w:val="0"/>
                <w:i w:val="0"/>
                <w:strike w:val="0"/>
                <w:u w:val="none"/>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22金洲专项02</w:t>
            </w:r>
          </w:p>
        </w:tc>
        <w:tc>
          <w:tcPr>
            <w:tcW w:w="2693" w:type="dxa"/>
            <w:shd w:val="clear" w:color="auto" w:fill="auto"/>
            <w:vAlign w:val="center"/>
          </w:tcPr>
          <w:p>
            <w:pPr>
              <w:ind w:hanging="1"/>
              <w:jc w:val="right"/>
            </w:pPr>
            <w:r>
              <w:rPr>
                <w:b w:val="0"/>
                <w:i w:val="0"/>
                <w:strike w:val="0"/>
                <w:u w:val="none"/>
              </w:rPr>
              <w:t>5,724,782.19</w:t>
            </w:r>
          </w:p>
        </w:tc>
        <w:tc>
          <w:tcPr>
            <w:tcW w:w="2431" w:type="dxa"/>
            <w:shd w:val="clear" w:color="auto" w:fill="auto"/>
            <w:vAlign w:val="center"/>
          </w:tcPr>
          <w:p>
            <w:pPr>
              <w:ind w:hanging="1"/>
              <w:jc w:val="right"/>
            </w:pPr>
            <w:r>
              <w:rPr>
                <w:b w:val="0"/>
                <w:i w:val="0"/>
                <w:strike w:val="0"/>
                <w:u w:val="none"/>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R005</w:t>
            </w:r>
          </w:p>
        </w:tc>
        <w:tc>
          <w:tcPr>
            <w:tcW w:w="2693" w:type="dxa"/>
            <w:shd w:val="clear" w:color="auto" w:fill="auto"/>
            <w:vAlign w:val="center"/>
          </w:tcPr>
          <w:p>
            <w:pPr>
              <w:ind w:hanging="1"/>
              <w:jc w:val="right"/>
            </w:pPr>
            <w:r>
              <w:rPr>
                <w:b w:val="0"/>
                <w:i w:val="0"/>
                <w:strike w:val="0"/>
                <w:u w:val="none"/>
              </w:rPr>
              <w:t>5,000,326.59</w:t>
            </w:r>
          </w:p>
        </w:tc>
        <w:tc>
          <w:tcPr>
            <w:tcW w:w="2431" w:type="dxa"/>
            <w:shd w:val="clear" w:color="auto" w:fill="auto"/>
            <w:vAlign w:val="center"/>
          </w:tcPr>
          <w:p>
            <w:pPr>
              <w:ind w:hanging="1"/>
              <w:jc w:val="right"/>
            </w:pPr>
            <w:r>
              <w:rPr>
                <w:b w:val="0"/>
                <w:i w:val="0"/>
                <w:strike w:val="0"/>
                <w:u w:val="none"/>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19邵东债</w:t>
            </w:r>
          </w:p>
        </w:tc>
        <w:tc>
          <w:tcPr>
            <w:tcW w:w="2693" w:type="dxa"/>
            <w:shd w:val="clear" w:color="auto" w:fill="auto"/>
            <w:vAlign w:val="center"/>
          </w:tcPr>
          <w:p>
            <w:pPr>
              <w:ind w:hanging="1"/>
              <w:jc w:val="right"/>
            </w:pPr>
            <w:r>
              <w:rPr>
                <w:b w:val="0"/>
                <w:i w:val="0"/>
                <w:strike w:val="0"/>
                <w:u w:val="none"/>
              </w:rPr>
              <w:t>4,653,967.86</w:t>
            </w:r>
          </w:p>
        </w:tc>
        <w:tc>
          <w:tcPr>
            <w:tcW w:w="2431" w:type="dxa"/>
            <w:shd w:val="clear" w:color="auto" w:fill="auto"/>
            <w:vAlign w:val="center"/>
          </w:tcPr>
          <w:p>
            <w:pPr>
              <w:ind w:hanging="1"/>
              <w:jc w:val="right"/>
            </w:pPr>
            <w:r>
              <w:rPr>
                <w:b w:val="0"/>
                <w:i w:val="0"/>
                <w:strike w:val="0"/>
                <w:u w:val="none"/>
              </w:rPr>
              <w:t>4.31</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3"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23潇湘01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9,748,824.11</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9.03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9,725,917.81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21桂林银行二级01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9,672,267.53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7,039,148.49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6.52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6,038,186.30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22金洲专项02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5,724,782.19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R005</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5,000,326.59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19邵东债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4,653,967.86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4,132,493.15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23永城02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3,966,217.21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3.67</w:t>
            </w:r>
          </w:p>
        </w:tc>
      </w:tr>
      <w:bookmarkEnd w:id="3"/>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731903861410883</w:t>
            </w:r>
          </w:p>
        </w:tc>
        <w:tc>
          <w:tcPr>
            <w:tcW w:w="2693" w:type="dxa"/>
            <w:shd w:val="clear" w:color="auto" w:fill="auto"/>
            <w:vAlign w:val="center"/>
          </w:tcPr>
          <w:p>
            <w:pPr>
              <w:spacing w:before="100" w:beforeAutospacing="1" w:after="100" w:afterAutospacing="1"/>
            </w:pPr>
            <w:r>
              <w:t>湖南银行股份有限公司-融智理财添利系列-D90-5理财产品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A6538"/>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3</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2026-01-22T08:05:47Z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