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融智理财添利系列-D90-4理财产品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融智理财添利系列-D90-4理财产品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110,204,039.02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[1.5%-2.5%]/年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100.12%</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18.33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515,989.66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551,212.28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130,408,416.39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130,408,416.39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1.1833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100,861,823.06</w:t>
            </w:r>
          </w:p>
        </w:tc>
        <w:tc>
          <w:tcPr>
            <w:tcW w:w="1749" w:type="dxa"/>
            <w:shd w:val="clear" w:color="auto" w:fill="auto"/>
            <w:vAlign w:val="center"/>
          </w:tcPr>
          <w:p>
            <w:pPr>
              <w:jc w:val="right"/>
            </w:pPr>
            <w:r>
              <w:t>77.25</w:t>
            </w:r>
          </w:p>
        </w:tc>
        <w:tc>
          <w:tcPr>
            <w:tcW w:w="1653" w:type="dxa"/>
            <w:vAlign w:val="center"/>
          </w:tcPr>
          <w:p>
            <w:pPr>
              <w:jc w:val="right"/>
            </w:pPr>
            <w:r>
              <w:t>7,634,104.11</w:t>
            </w:r>
          </w:p>
        </w:tc>
        <w:tc>
          <w:tcPr>
            <w:tcW w:w="1705" w:type="dxa"/>
            <w:vAlign w:val="center"/>
          </w:tcPr>
          <w:p>
            <w:pPr>
              <w:jc w:val="right"/>
            </w:pPr>
            <w: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98,901,077.28</w:t>
            </w:r>
          </w:p>
        </w:tc>
        <w:tc>
          <w:tcPr>
            <w:tcW w:w="1749" w:type="dxa"/>
            <w:shd w:val="clear" w:color="auto" w:fill="auto"/>
            <w:vAlign w:val="center"/>
          </w:tcPr>
          <w:p>
            <w:pPr>
              <w:jc w:val="right"/>
            </w:pPr>
            <w:r>
              <w:t>75.75</w:t>
            </w:r>
          </w:p>
        </w:tc>
        <w:tc>
          <w:tcPr>
            <w:tcW w:w="1653" w:type="dxa"/>
            <w:vAlign w:val="center"/>
          </w:tcPr>
          <w:p>
            <w:pPr>
              <w:jc w:val="right"/>
            </w:pPr>
            <w:r>
              <w:t>7,634,104.11</w:t>
            </w:r>
          </w:p>
        </w:tc>
        <w:tc>
          <w:tcPr>
            <w:tcW w:w="1705" w:type="dxa"/>
            <w:vAlign w:val="center"/>
          </w:tcPr>
          <w:p>
            <w:pPr>
              <w:jc w:val="right"/>
            </w:pPr>
            <w: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1,960,745.78</w:t>
            </w:r>
          </w:p>
        </w:tc>
        <w:tc>
          <w:tcPr>
            <w:tcW w:w="1749" w:type="dxa"/>
            <w:shd w:val="clear" w:color="auto" w:fill="auto"/>
            <w:vAlign w:val="center"/>
          </w:tcPr>
          <w:p>
            <w:pPr>
              <w:jc w:val="right"/>
            </w:pPr>
            <w:r>
              <w:t>1.50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20,001,306.35</w:t>
            </w:r>
          </w:p>
        </w:tc>
        <w:tc>
          <w:tcPr>
            <w:tcW w:w="1749" w:type="dxa"/>
            <w:shd w:val="clear" w:color="auto" w:fill="auto"/>
            <w:vAlign w:val="center"/>
          </w:tcPr>
          <w:p>
            <w:pPr>
              <w:jc w:val="right"/>
            </w:pPr>
            <w:r>
              <w:t>15.32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1,796,979.43</w:t>
            </w:r>
          </w:p>
        </w:tc>
        <w:tc>
          <w:tcPr>
            <w:tcW w:w="1749" w:type="dxa"/>
            <w:shd w:val="clear" w:color="auto" w:fill="auto"/>
            <w:vAlign w:val="center"/>
          </w:tcPr>
          <w:p>
            <w:pPr>
              <w:jc w:val="right"/>
            </w:pPr>
            <w:r>
              <w:t>1.38</w:t>
            </w:r>
          </w:p>
        </w:tc>
        <w:tc>
          <w:tcPr>
            <w:tcW w:w="1653" w:type="dxa"/>
            <w:vAlign w:val="center"/>
          </w:tcPr>
          <w:p>
            <w:pPr>
              <w:jc w:val="right"/>
            </w:pPr>
            <w:r>
              <w:t>110,998.46</w:t>
            </w:r>
          </w:p>
        </w:tc>
        <w:tc>
          <w:tcPr>
            <w:tcW w:w="1705" w:type="dxa"/>
            <w:vAlign w:val="center"/>
          </w:tcPr>
          <w:p>
            <w:pPr>
              <w:jc w:val="right"/>
            </w:pPr>
            <w: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7,907,911.81</w:t>
            </w:r>
          </w:p>
        </w:tc>
        <w:tc>
          <w:tcPr>
            <w:tcW w:w="1749" w:type="dxa"/>
            <w:shd w:val="clear" w:color="auto" w:fill="auto"/>
            <w:vAlign w:val="center"/>
          </w:tcPr>
          <w:p>
            <w:pPr>
              <w:jc w:val="right"/>
            </w:pPr>
            <w:r>
              <w:t>6.06</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166,704.98</w:t>
            </w:r>
          </w:p>
        </w:tc>
        <w:tc>
          <w:tcPr>
            <w:tcW w:w="1705" w:type="dxa"/>
            <w:vAlign w:val="center"/>
          </w:tcPr>
          <w:p>
            <w:pPr>
              <w:jc w:val="right"/>
            </w:pPr>
            <w: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130,568,020.65</w:t>
            </w:r>
          </w:p>
        </w:tc>
        <w:tc>
          <w:tcPr>
            <w:tcW w:w="1749" w:type="dxa"/>
            <w:shd w:val="clear" w:color="auto" w:fill="auto"/>
          </w:tcPr>
          <w:p>
            <w:pPr>
              <w:jc w:val="right"/>
            </w:pPr>
            <w:r>
              <w:t>100.00</w:t>
            </w:r>
          </w:p>
        </w:tc>
        <w:tc>
          <w:tcPr>
            <w:tcW w:w="1653" w:type="dxa"/>
          </w:tcPr>
          <w:p>
            <w:pPr>
              <w:jc w:val="right"/>
            </w:pPr>
            <w:r>
              <w:t>7,911,807.55</w:t>
            </w:r>
          </w:p>
        </w:tc>
        <w:tc>
          <w:tcPr>
            <w:tcW w:w="1705" w:type="dxa"/>
          </w:tcPr>
          <w:p>
            <w:pPr>
              <w:jc w:val="right"/>
            </w:pPr>
            <w:r>
              <w:t>6.06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7.78%；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R005</w:t>
            </w:r>
          </w:p>
        </w:tc>
        <w:tc>
          <w:tcPr>
            <w:tcW w:w="2693" w:type="dxa"/>
            <w:shd w:val="clear" w:color="auto" w:fill="auto"/>
            <w:vAlign w:val="center"/>
          </w:tcPr>
          <w:p>
            <w:pPr>
              <w:jc w:val="right"/>
            </w:pPr>
            <w:r>
              <w:t>20,001,306.35</w:t>
            </w:r>
          </w:p>
        </w:tc>
        <w:tc>
          <w:tcPr>
            <w:tcW w:w="2431" w:type="dxa"/>
            <w:shd w:val="clear" w:color="auto" w:fill="auto"/>
            <w:vAlign w:val="center"/>
          </w:tcPr>
          <w:p>
            <w:pPr>
              <w:jc w:val="right"/>
            </w:pPr>
            <w:r>
              <w:t>15.34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10,332,490.41</w:t>
            </w:r>
          </w:p>
        </w:tc>
        <w:tc>
          <w:tcPr>
            <w:tcW w:w="2431" w:type="dxa"/>
            <w:shd w:val="clear" w:color="auto" w:fill="auto"/>
            <w:vAlign w:val="center"/>
          </w:tcPr>
          <w:p>
            <w:pPr>
              <w:ind w:hanging="1"/>
              <w:jc w:val="right"/>
            </w:pPr>
            <w:r>
              <w:rPr>
                <w:b w:val="0"/>
                <w:i w:val="0"/>
                <w:strike w:val="0"/>
                <w:u w:val="none"/>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24惠临01</w:t>
            </w:r>
          </w:p>
        </w:tc>
        <w:tc>
          <w:tcPr>
            <w:tcW w:w="2693" w:type="dxa"/>
            <w:shd w:val="clear" w:color="auto" w:fill="auto"/>
            <w:vAlign w:val="center"/>
          </w:tcPr>
          <w:p>
            <w:pPr>
              <w:ind w:hanging="1"/>
              <w:jc w:val="right"/>
            </w:pPr>
            <w:r>
              <w:rPr>
                <w:b w:val="0"/>
                <w:i w:val="0"/>
                <w:strike w:val="0"/>
                <w:u w:val="none"/>
              </w:rPr>
              <w:t>10,331,232.88</w:t>
            </w:r>
          </w:p>
        </w:tc>
        <w:tc>
          <w:tcPr>
            <w:tcW w:w="2431" w:type="dxa"/>
            <w:shd w:val="clear" w:color="auto" w:fill="auto"/>
            <w:vAlign w:val="center"/>
          </w:tcPr>
          <w:p>
            <w:pPr>
              <w:ind w:hanging="1"/>
              <w:jc w:val="right"/>
            </w:pPr>
            <w:r>
              <w:rPr>
                <w:b w:val="0"/>
                <w:i w:val="0"/>
                <w:strike w:val="0"/>
                <w:u w:val="none"/>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PR金霞债</w:t>
            </w:r>
          </w:p>
        </w:tc>
        <w:tc>
          <w:tcPr>
            <w:tcW w:w="2693" w:type="dxa"/>
            <w:shd w:val="clear" w:color="auto" w:fill="auto"/>
            <w:vAlign w:val="center"/>
          </w:tcPr>
          <w:p>
            <w:pPr>
              <w:ind w:hanging="1"/>
              <w:jc w:val="right"/>
            </w:pPr>
            <w:r>
              <w:rPr>
                <w:b w:val="0"/>
                <w:i w:val="0"/>
                <w:strike w:val="0"/>
                <w:u w:val="none"/>
              </w:rPr>
              <w:t>10,291,294.25</w:t>
            </w:r>
          </w:p>
        </w:tc>
        <w:tc>
          <w:tcPr>
            <w:tcW w:w="2431" w:type="dxa"/>
            <w:shd w:val="clear" w:color="auto" w:fill="auto"/>
            <w:vAlign w:val="center"/>
          </w:tcPr>
          <w:p>
            <w:pPr>
              <w:ind w:hanging="1"/>
              <w:jc w:val="right"/>
            </w:pPr>
            <w:r>
              <w:rPr>
                <w:b w:val="0"/>
                <w:i w:val="0"/>
                <w:strike w:val="0"/>
                <w:u w:val="none"/>
              </w:rPr>
              <w:t>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23永城02</w:t>
            </w:r>
          </w:p>
        </w:tc>
        <w:tc>
          <w:tcPr>
            <w:tcW w:w="2693" w:type="dxa"/>
            <w:shd w:val="clear" w:color="auto" w:fill="auto"/>
            <w:vAlign w:val="center"/>
          </w:tcPr>
          <w:p>
            <w:pPr>
              <w:ind w:hanging="1"/>
              <w:jc w:val="right"/>
            </w:pPr>
            <w:r>
              <w:rPr>
                <w:b w:val="0"/>
                <w:i w:val="0"/>
                <w:strike w:val="0"/>
                <w:u w:val="none"/>
              </w:rPr>
              <w:t>9,602,420.60</w:t>
            </w:r>
          </w:p>
        </w:tc>
        <w:tc>
          <w:tcPr>
            <w:tcW w:w="2431" w:type="dxa"/>
            <w:shd w:val="clear" w:color="auto" w:fill="auto"/>
            <w:vAlign w:val="center"/>
          </w:tcPr>
          <w:p>
            <w:pPr>
              <w:ind w:hanging="1"/>
              <w:jc w:val="right"/>
            </w:pPr>
            <w:r>
              <w:rPr>
                <w:b w:val="0"/>
                <w:i w:val="0"/>
                <w:strike w:val="0"/>
                <w:u w:val="none"/>
              </w:rPr>
              <w:t>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9,369,345.21</w:t>
            </w:r>
          </w:p>
        </w:tc>
        <w:tc>
          <w:tcPr>
            <w:tcW w:w="2431" w:type="dxa"/>
            <w:shd w:val="clear" w:color="auto" w:fill="auto"/>
            <w:vAlign w:val="center"/>
          </w:tcPr>
          <w:p>
            <w:pPr>
              <w:ind w:hanging="1"/>
              <w:jc w:val="right"/>
            </w:pPr>
            <w:r>
              <w:rPr>
                <w:b w:val="0"/>
                <w:i w:val="0"/>
                <w:strike w:val="0"/>
                <w:u w:val="none"/>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8,352,824.38</w:t>
            </w:r>
          </w:p>
        </w:tc>
        <w:tc>
          <w:tcPr>
            <w:tcW w:w="2431" w:type="dxa"/>
            <w:shd w:val="clear" w:color="auto" w:fill="auto"/>
            <w:vAlign w:val="center"/>
          </w:tcPr>
          <w:p>
            <w:pPr>
              <w:ind w:hanging="1"/>
              <w:jc w:val="right"/>
            </w:pPr>
            <w:r>
              <w:rPr>
                <w:b w:val="0"/>
                <w:i w:val="0"/>
                <w:strike w:val="0"/>
                <w:u w:val="none"/>
              </w:rP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7,907,911.81</w:t>
            </w:r>
          </w:p>
        </w:tc>
        <w:tc>
          <w:tcPr>
            <w:tcW w:w="2431" w:type="dxa"/>
            <w:shd w:val="clear" w:color="auto" w:fill="auto"/>
            <w:vAlign w:val="center"/>
          </w:tcPr>
          <w:p>
            <w:pPr>
              <w:ind w:hanging="1"/>
              <w:jc w:val="right"/>
            </w:pPr>
            <w:r>
              <w:rPr>
                <w:b w:val="0"/>
                <w:i w:val="0"/>
                <w:strike w:val="0"/>
                <w:u w:val="none"/>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24津城建MTN010</w:t>
            </w:r>
          </w:p>
        </w:tc>
        <w:tc>
          <w:tcPr>
            <w:tcW w:w="2693" w:type="dxa"/>
            <w:shd w:val="clear" w:color="auto" w:fill="auto"/>
            <w:vAlign w:val="center"/>
          </w:tcPr>
          <w:p>
            <w:pPr>
              <w:ind w:hanging="1"/>
              <w:jc w:val="right"/>
            </w:pPr>
            <w:r>
              <w:rPr>
                <w:b w:val="0"/>
                <w:i w:val="0"/>
                <w:strike w:val="0"/>
                <w:u w:val="none"/>
              </w:rPr>
              <w:t>7,264,941.37</w:t>
            </w:r>
          </w:p>
        </w:tc>
        <w:tc>
          <w:tcPr>
            <w:tcW w:w="2431" w:type="dxa"/>
            <w:shd w:val="clear" w:color="auto" w:fill="auto"/>
            <w:vAlign w:val="center"/>
          </w:tcPr>
          <w:p>
            <w:pPr>
              <w:ind w:hanging="1"/>
              <w:jc w:val="right"/>
            </w:pPr>
            <w:r>
              <w:rPr>
                <w:b w:val="0"/>
                <w:i w:val="0"/>
                <w:strike w:val="0"/>
                <w:u w:val="none"/>
              </w:rP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G20德源1</w:t>
            </w:r>
          </w:p>
        </w:tc>
        <w:tc>
          <w:tcPr>
            <w:tcW w:w="2693" w:type="dxa"/>
            <w:shd w:val="clear" w:color="auto" w:fill="auto"/>
            <w:vAlign w:val="center"/>
          </w:tcPr>
          <w:p>
            <w:pPr>
              <w:ind w:hanging="1"/>
              <w:jc w:val="right"/>
            </w:pPr>
            <w:r>
              <w:rPr>
                <w:b w:val="0"/>
                <w:i w:val="0"/>
                <w:strike w:val="0"/>
                <w:u w:val="none"/>
              </w:rPr>
              <w:t>6,832,920.55</w:t>
            </w:r>
          </w:p>
        </w:tc>
        <w:tc>
          <w:tcPr>
            <w:tcW w:w="2431" w:type="dxa"/>
            <w:shd w:val="clear" w:color="auto" w:fill="auto"/>
            <w:vAlign w:val="center"/>
          </w:tcPr>
          <w:p>
            <w:pPr>
              <w:ind w:hanging="1"/>
              <w:jc w:val="right"/>
            </w:pPr>
            <w:r>
              <w:rPr>
                <w:b w:val="0"/>
                <w:i w:val="0"/>
                <w:strike w:val="0"/>
                <w:u w:val="none"/>
              </w:rPr>
              <w:t>5.24</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R005</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20,001,306.35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15.34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10,332,490.41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10,331,232.88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PR金霞债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10,291,294.25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23永城02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9,602,420.60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7.36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9,369,345.21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8,352,824.38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24津城建MTN010</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7,264,941.37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G20德源1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6,832,920.55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PR轩达01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5,603,562.74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4.30</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731903861410775</w:t>
            </w:r>
          </w:p>
        </w:tc>
        <w:tc>
          <w:tcPr>
            <w:tcW w:w="2693" w:type="dxa"/>
            <w:shd w:val="clear" w:color="auto" w:fill="auto"/>
            <w:vAlign w:val="center"/>
          </w:tcPr>
          <w:p>
            <w:pPr>
              <w:spacing w:before="100" w:beforeAutospacing="1" w:after="100" w:afterAutospacing="1"/>
            </w:pPr>
            <w:r>
              <w:t>湖南银行股份有限公司-融智理财添利系列-D90-4理财产品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10-20</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1294</w:t>
            </w:r>
            <w:bookmarkStart w:id="2" w:name="_GoBack"/>
            <w:bookmarkEnd w:id="2"/>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1.42%</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Fonts w:hint="eastAsia"/>
          <w:lang w:val="en-US"/>
        </w:rPr>
      </w:pPr>
    </w:p>
    <w:p>
      <w:pPr>
        <w:pStyle w:val="35"/>
        <w:spacing w:before="156" w:after="468" w:afterLines="150"/>
        <w:rPr>
          <w:rFonts w:hint="eastAsia"/>
          <w:lang w:val="en-US"/>
        </w:rPr>
      </w:pP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3A51C4"/>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0</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2026-01-22T08:02:55Z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