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融智理财添利系列-D365-5理财产品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融智理财添利系列-D365-5理财产品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C1136019000139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2019-09-23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55,870,000.00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[1.8%-3.3%]/年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100.18%</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24.97</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1,170,686.97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294,676.38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56,145,191.38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1.2497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56,145,191.38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1.2497</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47,848,467.53</w:t>
            </w:r>
          </w:p>
        </w:tc>
        <w:tc>
          <w:tcPr>
            <w:tcW w:w="1749" w:type="dxa"/>
            <w:shd w:val="clear" w:color="auto" w:fill="auto"/>
            <w:vAlign w:val="center"/>
          </w:tcPr>
          <w:p>
            <w:pPr>
              <w:jc w:val="right"/>
            </w:pPr>
            <w:r>
              <w:t>85.07</w:t>
            </w:r>
          </w:p>
        </w:tc>
        <w:tc>
          <w:tcPr>
            <w:tcW w:w="1653" w:type="dxa"/>
            <w:vAlign w:val="center"/>
          </w:tcPr>
          <w:p>
            <w:pPr>
              <w:jc w:val="right"/>
            </w:pPr>
            <w:r>
              <w:t>7,690,142.52</w:t>
            </w:r>
          </w:p>
        </w:tc>
        <w:tc>
          <w:tcPr>
            <w:tcW w:w="1705" w:type="dxa"/>
            <w:vAlign w:val="center"/>
          </w:tcPr>
          <w:p>
            <w:pPr>
              <w:jc w:val="right"/>
            </w:pPr>
            <w:r>
              <w:t>13.67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47,848,467.53</w:t>
            </w:r>
          </w:p>
        </w:tc>
        <w:tc>
          <w:tcPr>
            <w:tcW w:w="1749" w:type="dxa"/>
            <w:shd w:val="clear" w:color="auto" w:fill="auto"/>
            <w:vAlign w:val="center"/>
          </w:tcPr>
          <w:p>
            <w:pPr>
              <w:jc w:val="right"/>
            </w:pPr>
            <w:r>
              <w:t>85.07</w:t>
            </w:r>
          </w:p>
        </w:tc>
        <w:tc>
          <w:tcPr>
            <w:tcW w:w="1653" w:type="dxa"/>
            <w:vAlign w:val="center"/>
          </w:tcPr>
          <w:p>
            <w:pPr>
              <w:jc w:val="right"/>
            </w:pPr>
            <w:r>
              <w:t>7,690,142.52</w:t>
            </w:r>
          </w:p>
        </w:tc>
        <w:tc>
          <w:tcPr>
            <w:tcW w:w="1705" w:type="dxa"/>
            <w:vAlign w:val="center"/>
          </w:tcPr>
          <w:p>
            <w:pPr>
              <w:jc w:val="right"/>
            </w:pPr>
            <w:r>
              <w:t>13.67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639,924.90</w:t>
            </w:r>
          </w:p>
        </w:tc>
        <w:tc>
          <w:tcPr>
            <w:tcW w:w="1749" w:type="dxa"/>
            <w:shd w:val="clear" w:color="auto" w:fill="auto"/>
            <w:vAlign w:val="center"/>
          </w:tcPr>
          <w:p>
            <w:pPr>
              <w:jc w:val="right"/>
            </w:pPr>
            <w:r>
              <w:t>1.14</w:t>
            </w:r>
          </w:p>
        </w:tc>
        <w:tc>
          <w:tcPr>
            <w:tcW w:w="1653" w:type="dxa"/>
            <w:vAlign w:val="center"/>
          </w:tcPr>
          <w:p>
            <w:pPr>
              <w:jc w:val="right"/>
            </w:pPr>
            <w:r>
              <w:t>71,919.93</w:t>
            </w:r>
          </w:p>
        </w:tc>
        <w:tc>
          <w:tcPr>
            <w:tcW w:w="1705" w:type="dxa"/>
            <w:vAlign w:val="center"/>
          </w:tcPr>
          <w:p>
            <w:pPr>
              <w:jc w:val="right"/>
            </w:pPr>
            <w: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7,757,283.18</w:t>
            </w:r>
          </w:p>
        </w:tc>
        <w:tc>
          <w:tcPr>
            <w:tcW w:w="1749" w:type="dxa"/>
            <w:shd w:val="clear" w:color="auto" w:fill="auto"/>
            <w:vAlign w:val="center"/>
          </w:tcPr>
          <w:p>
            <w:pPr>
              <w:jc w:val="right"/>
            </w:pPr>
            <w:r>
              <w:t>13.79</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56,245,675.61</w:t>
            </w:r>
          </w:p>
        </w:tc>
        <w:tc>
          <w:tcPr>
            <w:tcW w:w="1749" w:type="dxa"/>
            <w:shd w:val="clear" w:color="auto" w:fill="auto"/>
          </w:tcPr>
          <w:p>
            <w:pPr>
              <w:jc w:val="right"/>
            </w:pPr>
            <w:r>
              <w:t>100.00</w:t>
            </w:r>
          </w:p>
        </w:tc>
        <w:tc>
          <w:tcPr>
            <w:tcW w:w="1653" w:type="dxa"/>
          </w:tcPr>
          <w:p>
            <w:pPr>
              <w:jc w:val="right"/>
            </w:pPr>
            <w:r>
              <w:t>7,762,062.45</w:t>
            </w:r>
          </w:p>
        </w:tc>
        <w:tc>
          <w:tcPr>
            <w:tcW w:w="1705" w:type="dxa"/>
          </w:tcPr>
          <w:p>
            <w:pPr>
              <w:jc w:val="right"/>
            </w:pPr>
            <w:r>
              <w:t>13.80</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6.74%；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中信证券湘稳1号集合资产管理计划</w:t>
            </w:r>
          </w:p>
        </w:tc>
        <w:tc>
          <w:tcPr>
            <w:tcW w:w="2693" w:type="dxa"/>
            <w:shd w:val="clear" w:color="auto" w:fill="auto"/>
            <w:vAlign w:val="center"/>
          </w:tcPr>
          <w:p>
            <w:pPr>
              <w:jc w:val="right"/>
            </w:pPr>
            <w:r>
              <w:t>7,757,283.18</w:t>
            </w:r>
          </w:p>
        </w:tc>
        <w:tc>
          <w:tcPr>
            <w:tcW w:w="2431" w:type="dxa"/>
            <w:shd w:val="clear" w:color="auto" w:fill="auto"/>
            <w:vAlign w:val="center"/>
          </w:tcPr>
          <w:p>
            <w:pPr>
              <w:jc w:val="right"/>
            </w:pPr>
            <w:r>
              <w:t>13.82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24洞庭01</w:t>
            </w:r>
          </w:p>
        </w:tc>
        <w:tc>
          <w:tcPr>
            <w:tcW w:w="2693" w:type="dxa"/>
            <w:shd w:val="clear" w:color="auto" w:fill="auto"/>
            <w:vAlign w:val="center"/>
          </w:tcPr>
          <w:p>
            <w:pPr>
              <w:ind w:hanging="1"/>
              <w:jc w:val="right"/>
            </w:pPr>
            <w:r>
              <w:rPr>
                <w:b w:val="0"/>
                <w:i w:val="0"/>
                <w:strike w:val="0"/>
                <w:u w:val="none"/>
              </w:rPr>
              <w:t>5,095,181.10</w:t>
            </w:r>
          </w:p>
        </w:tc>
        <w:tc>
          <w:tcPr>
            <w:tcW w:w="2431" w:type="dxa"/>
            <w:shd w:val="clear" w:color="auto" w:fill="auto"/>
            <w:vAlign w:val="center"/>
          </w:tcPr>
          <w:p>
            <w:pPr>
              <w:ind w:hanging="1"/>
              <w:jc w:val="right"/>
            </w:pPr>
            <w:r>
              <w:rPr>
                <w:b w:val="0"/>
                <w:i w:val="0"/>
                <w:strike w:val="0"/>
                <w:u w:val="none"/>
              </w:rPr>
              <w:t>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24吉华01</w:t>
            </w:r>
          </w:p>
        </w:tc>
        <w:tc>
          <w:tcPr>
            <w:tcW w:w="2693" w:type="dxa"/>
            <w:shd w:val="clear" w:color="auto" w:fill="auto"/>
            <w:vAlign w:val="center"/>
          </w:tcPr>
          <w:p>
            <w:pPr>
              <w:ind w:hanging="1"/>
              <w:jc w:val="right"/>
            </w:pPr>
            <w:r>
              <w:rPr>
                <w:b w:val="0"/>
                <w:i w:val="0"/>
                <w:strike w:val="0"/>
                <w:u w:val="none"/>
              </w:rPr>
              <w:t>5,093,935.29</w:t>
            </w:r>
          </w:p>
        </w:tc>
        <w:tc>
          <w:tcPr>
            <w:tcW w:w="2431" w:type="dxa"/>
            <w:shd w:val="clear" w:color="auto" w:fill="auto"/>
            <w:vAlign w:val="center"/>
          </w:tcPr>
          <w:p>
            <w:pPr>
              <w:ind w:hanging="1"/>
              <w:jc w:val="right"/>
            </w:pPr>
            <w:r>
              <w:rPr>
                <w:b w:val="0"/>
                <w:i w:val="0"/>
                <w:strike w:val="0"/>
                <w:u w:val="none"/>
              </w:rPr>
              <w:t>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24芦淞01</w:t>
            </w:r>
          </w:p>
        </w:tc>
        <w:tc>
          <w:tcPr>
            <w:tcW w:w="2693" w:type="dxa"/>
            <w:shd w:val="clear" w:color="auto" w:fill="auto"/>
            <w:vAlign w:val="center"/>
          </w:tcPr>
          <w:p>
            <w:pPr>
              <w:ind w:hanging="1"/>
              <w:jc w:val="right"/>
            </w:pPr>
            <w:r>
              <w:rPr>
                <w:b w:val="0"/>
                <w:i w:val="0"/>
                <w:strike w:val="0"/>
                <w:u w:val="none"/>
              </w:rPr>
              <w:t>5,049,861.70</w:t>
            </w:r>
          </w:p>
        </w:tc>
        <w:tc>
          <w:tcPr>
            <w:tcW w:w="2431" w:type="dxa"/>
            <w:shd w:val="clear" w:color="auto" w:fill="auto"/>
            <w:vAlign w:val="center"/>
          </w:tcPr>
          <w:p>
            <w:pPr>
              <w:ind w:hanging="1"/>
              <w:jc w:val="right"/>
            </w:pPr>
            <w:r>
              <w:rPr>
                <w:b w:val="0"/>
                <w:i w:val="0"/>
                <w:strike w:val="0"/>
                <w:u w:val="none"/>
              </w:rPr>
              <w:t>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23宁集01</w:t>
            </w:r>
          </w:p>
        </w:tc>
        <w:tc>
          <w:tcPr>
            <w:tcW w:w="2693" w:type="dxa"/>
            <w:shd w:val="clear" w:color="auto" w:fill="auto"/>
            <w:vAlign w:val="center"/>
          </w:tcPr>
          <w:p>
            <w:pPr>
              <w:ind w:hanging="1"/>
              <w:jc w:val="right"/>
            </w:pPr>
            <w:r>
              <w:rPr>
                <w:b w:val="0"/>
                <w:i w:val="0"/>
                <w:strike w:val="0"/>
                <w:u w:val="none"/>
              </w:rPr>
              <w:t>4,886,718.25</w:t>
            </w:r>
          </w:p>
        </w:tc>
        <w:tc>
          <w:tcPr>
            <w:tcW w:w="2431" w:type="dxa"/>
            <w:shd w:val="clear" w:color="auto" w:fill="auto"/>
            <w:vAlign w:val="center"/>
          </w:tcPr>
          <w:p>
            <w:pPr>
              <w:ind w:hanging="1"/>
              <w:jc w:val="right"/>
            </w:pPr>
            <w:r>
              <w:rPr>
                <w:b w:val="0"/>
                <w:i w:val="0"/>
                <w:strike w:val="0"/>
                <w:u w:val="none"/>
              </w:rPr>
              <w:t>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23振湘03</w:t>
            </w:r>
          </w:p>
        </w:tc>
        <w:tc>
          <w:tcPr>
            <w:tcW w:w="2693" w:type="dxa"/>
            <w:shd w:val="clear" w:color="auto" w:fill="auto"/>
            <w:vAlign w:val="center"/>
          </w:tcPr>
          <w:p>
            <w:pPr>
              <w:ind w:hanging="1"/>
              <w:jc w:val="right"/>
            </w:pPr>
            <w:r>
              <w:rPr>
                <w:b w:val="0"/>
                <w:i w:val="0"/>
                <w:strike w:val="0"/>
                <w:u w:val="none"/>
              </w:rPr>
              <w:t>4,820,822.19</w:t>
            </w:r>
          </w:p>
        </w:tc>
        <w:tc>
          <w:tcPr>
            <w:tcW w:w="2431" w:type="dxa"/>
            <w:shd w:val="clear" w:color="auto" w:fill="auto"/>
            <w:vAlign w:val="center"/>
          </w:tcPr>
          <w:p>
            <w:pPr>
              <w:ind w:hanging="1"/>
              <w:jc w:val="right"/>
            </w:pPr>
            <w:r>
              <w:rPr>
                <w:b w:val="0"/>
                <w:i w:val="0"/>
                <w:strike w:val="0"/>
                <w:u w:val="none"/>
              </w:rPr>
              <w:t>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23洞庭资源PPN001</w:t>
            </w:r>
          </w:p>
        </w:tc>
        <w:tc>
          <w:tcPr>
            <w:tcW w:w="2693" w:type="dxa"/>
            <w:shd w:val="clear" w:color="auto" w:fill="auto"/>
            <w:vAlign w:val="center"/>
          </w:tcPr>
          <w:p>
            <w:pPr>
              <w:ind w:hanging="1"/>
              <w:jc w:val="right"/>
            </w:pPr>
            <w:r>
              <w:rPr>
                <w:b w:val="0"/>
                <w:i w:val="0"/>
                <w:strike w:val="0"/>
                <w:u w:val="none"/>
              </w:rPr>
              <w:t>4,695,793.15</w:t>
            </w:r>
          </w:p>
        </w:tc>
        <w:tc>
          <w:tcPr>
            <w:tcW w:w="2431" w:type="dxa"/>
            <w:shd w:val="clear" w:color="auto" w:fill="auto"/>
            <w:vAlign w:val="center"/>
          </w:tcPr>
          <w:p>
            <w:pPr>
              <w:ind w:hanging="1"/>
              <w:jc w:val="right"/>
            </w:pPr>
            <w:r>
              <w:rPr>
                <w:b w:val="0"/>
                <w:i w:val="0"/>
                <w:strike w:val="0"/>
                <w:u w:val="none"/>
              </w:rPr>
              <w:t>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21岳阳交投01</w:t>
            </w:r>
          </w:p>
        </w:tc>
        <w:tc>
          <w:tcPr>
            <w:tcW w:w="2693" w:type="dxa"/>
            <w:shd w:val="clear" w:color="auto" w:fill="auto"/>
            <w:vAlign w:val="center"/>
          </w:tcPr>
          <w:p>
            <w:pPr>
              <w:ind w:hanging="1"/>
              <w:jc w:val="right"/>
            </w:pPr>
            <w:r>
              <w:rPr>
                <w:b w:val="0"/>
                <w:i w:val="0"/>
                <w:strike w:val="0"/>
                <w:u w:val="none"/>
              </w:rPr>
              <w:t>4,536,016.00</w:t>
            </w:r>
          </w:p>
        </w:tc>
        <w:tc>
          <w:tcPr>
            <w:tcW w:w="2431" w:type="dxa"/>
            <w:shd w:val="clear" w:color="auto" w:fill="auto"/>
            <w:vAlign w:val="center"/>
          </w:tcPr>
          <w:p>
            <w:pPr>
              <w:ind w:hanging="1"/>
              <w:jc w:val="right"/>
            </w:pPr>
            <w:r>
              <w:rPr>
                <w:b w:val="0"/>
                <w:i w:val="0"/>
                <w:strike w:val="0"/>
                <w:u w:val="none"/>
              </w:rPr>
              <w:t>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24百福投资MTN001</w:t>
            </w:r>
          </w:p>
        </w:tc>
        <w:tc>
          <w:tcPr>
            <w:tcW w:w="2693" w:type="dxa"/>
            <w:shd w:val="clear" w:color="auto" w:fill="auto"/>
            <w:vAlign w:val="center"/>
          </w:tcPr>
          <w:p>
            <w:pPr>
              <w:ind w:hanging="1"/>
              <w:jc w:val="right"/>
            </w:pPr>
            <w:r>
              <w:rPr>
                <w:b w:val="0"/>
                <w:i w:val="0"/>
                <w:strike w:val="0"/>
                <w:u w:val="none"/>
              </w:rPr>
              <w:t>4,303,258.90</w:t>
            </w:r>
          </w:p>
        </w:tc>
        <w:tc>
          <w:tcPr>
            <w:tcW w:w="2431" w:type="dxa"/>
            <w:shd w:val="clear" w:color="auto" w:fill="auto"/>
            <w:vAlign w:val="center"/>
          </w:tcPr>
          <w:p>
            <w:pPr>
              <w:ind w:hanging="1"/>
              <w:jc w:val="right"/>
            </w:pPr>
            <w:r>
              <w:rPr>
                <w:b w:val="0"/>
                <w:i w:val="0"/>
                <w:strike w:val="0"/>
                <w:u w:val="none"/>
              </w:rP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PR金霞债</w:t>
            </w:r>
          </w:p>
        </w:tc>
        <w:tc>
          <w:tcPr>
            <w:tcW w:w="2693" w:type="dxa"/>
            <w:shd w:val="clear" w:color="auto" w:fill="auto"/>
            <w:vAlign w:val="center"/>
          </w:tcPr>
          <w:p>
            <w:pPr>
              <w:ind w:hanging="1"/>
              <w:jc w:val="right"/>
            </w:pPr>
            <w:r>
              <w:rPr>
                <w:b w:val="0"/>
                <w:i w:val="0"/>
                <w:strike w:val="0"/>
                <w:u w:val="none"/>
              </w:rPr>
              <w:t>4,056,734.25</w:t>
            </w:r>
          </w:p>
        </w:tc>
        <w:tc>
          <w:tcPr>
            <w:tcW w:w="2431" w:type="dxa"/>
            <w:shd w:val="clear" w:color="auto" w:fill="auto"/>
            <w:vAlign w:val="center"/>
          </w:tcPr>
          <w:p>
            <w:pPr>
              <w:ind w:hanging="1"/>
              <w:jc w:val="right"/>
            </w:pPr>
            <w:r>
              <w:rPr>
                <w:b w:val="0"/>
                <w:i w:val="0"/>
                <w:strike w:val="0"/>
                <w:u w:val="none"/>
              </w:rPr>
              <w:t>7.23</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24洞庭01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5,095,181.10</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9.08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24吉华01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5,093,935.29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24芦淞01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5,049,861.70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23宁集01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4,886,718.25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8.70</w:t>
            </w:r>
          </w:p>
        </w:tc>
      </w:tr>
      <w:tr>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23振湘03</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4,820,822.19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8.59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23洞庭资源PPN001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4,695,793.15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8.36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21岳阳交投01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4,536,016.00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8.08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24百福投资MTN001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4,303,258.90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7.66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PR金霞债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4,056,734.25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7.23</w:t>
            </w:r>
          </w:p>
        </w:tc>
      </w:tr>
      <w:tr>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3,145,986.16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5.60</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731903861410315</w:t>
            </w:r>
          </w:p>
        </w:tc>
        <w:tc>
          <w:tcPr>
            <w:tcW w:w="2693" w:type="dxa"/>
            <w:shd w:val="clear" w:color="auto" w:fill="auto"/>
            <w:vAlign w:val="center"/>
          </w:tcPr>
          <w:p>
            <w:pPr>
              <w:spacing w:before="100" w:beforeAutospacing="1" w:after="100" w:afterAutospacing="1"/>
            </w:pPr>
            <w:r>
              <w:t>湖南银行股份有限公司-融智理财添利系列-D365-5理财产品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1D844D2F"/>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2</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2026-01-22T08:15:20Z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