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融智理财添利系列-D365-7理财产品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融智理财添利系列-D365-7理财产品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C1136019000181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2019-11-21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75,369,000.00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[1.8%-3.3%]/年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100.13%</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24.17</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2,667,913.06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479,894.65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75,397,189.53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1.2417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75,397,189.53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1.2417</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47,240,232.38</w:t>
            </w:r>
          </w:p>
        </w:tc>
        <w:tc>
          <w:tcPr>
            <w:tcW w:w="1749" w:type="dxa"/>
            <w:shd w:val="clear" w:color="auto" w:fill="auto"/>
            <w:vAlign w:val="center"/>
          </w:tcPr>
          <w:p>
            <w:pPr>
              <w:jc w:val="right"/>
            </w:pPr>
            <w:r>
              <w:t>62.57</w:t>
            </w:r>
          </w:p>
        </w:tc>
        <w:tc>
          <w:tcPr>
            <w:tcW w:w="1653" w:type="dxa"/>
            <w:vAlign w:val="center"/>
          </w:tcPr>
          <w:p>
            <w:pPr>
              <w:jc w:val="right"/>
            </w:pPr>
            <w:r>
              <w:t>28,458,501.86</w:t>
            </w:r>
          </w:p>
        </w:tc>
        <w:tc>
          <w:tcPr>
            <w:tcW w:w="1705" w:type="dxa"/>
            <w:vAlign w:val="center"/>
          </w:tcPr>
          <w:p>
            <w:pPr>
              <w:jc w:val="right"/>
            </w:pPr>
            <w:r>
              <w:t>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47,240,232.38</w:t>
            </w:r>
          </w:p>
        </w:tc>
        <w:tc>
          <w:tcPr>
            <w:tcW w:w="1749" w:type="dxa"/>
            <w:shd w:val="clear" w:color="auto" w:fill="auto"/>
            <w:vAlign w:val="center"/>
          </w:tcPr>
          <w:p>
            <w:pPr>
              <w:jc w:val="right"/>
            </w:pPr>
            <w:r>
              <w:t>62.57</w:t>
            </w:r>
          </w:p>
        </w:tc>
        <w:tc>
          <w:tcPr>
            <w:tcW w:w="1653" w:type="dxa"/>
            <w:vAlign w:val="center"/>
          </w:tcPr>
          <w:p>
            <w:pPr>
              <w:jc w:val="right"/>
            </w:pPr>
            <w:r>
              <w:t>28,458,501.86</w:t>
            </w:r>
          </w:p>
        </w:tc>
        <w:tc>
          <w:tcPr>
            <w:tcW w:w="1705" w:type="dxa"/>
            <w:vAlign w:val="center"/>
          </w:tcPr>
          <w:p>
            <w:pPr>
              <w:jc w:val="right"/>
            </w:pPr>
            <w:r>
              <w:t>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264,462.51</w:t>
            </w:r>
          </w:p>
        </w:tc>
        <w:tc>
          <w:tcPr>
            <w:tcW w:w="1749" w:type="dxa"/>
            <w:shd w:val="clear" w:color="auto" w:fill="auto"/>
            <w:vAlign w:val="center"/>
          </w:tcPr>
          <w:p>
            <w:pPr>
              <w:jc w:val="right"/>
            </w:pPr>
            <w:r>
              <w:t>0.35</w:t>
            </w:r>
          </w:p>
        </w:tc>
        <w:tc>
          <w:tcPr>
            <w:tcW w:w="1653" w:type="dxa"/>
            <w:vAlign w:val="center"/>
          </w:tcPr>
          <w:p>
            <w:pPr>
              <w:jc w:val="right"/>
            </w:pPr>
            <w:r>
              <w:t>295,780.33</w:t>
            </w:r>
          </w:p>
        </w:tc>
        <w:tc>
          <w:tcPr>
            <w:tcW w:w="1705" w:type="dxa"/>
            <w:vAlign w:val="center"/>
          </w:tcPr>
          <w:p>
            <w:pPr>
              <w:jc w:val="right"/>
            </w:pPr>
            <w: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27,990,577.90</w:t>
            </w:r>
          </w:p>
        </w:tc>
        <w:tc>
          <w:tcPr>
            <w:tcW w:w="1749" w:type="dxa"/>
            <w:shd w:val="clear" w:color="auto" w:fill="auto"/>
            <w:vAlign w:val="center"/>
          </w:tcPr>
          <w:p>
            <w:pPr>
              <w:jc w:val="right"/>
            </w:pPr>
            <w:r>
              <w:t>37.08</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37,407.41</w:t>
            </w:r>
          </w:p>
        </w:tc>
        <w:tc>
          <w:tcPr>
            <w:tcW w:w="1705" w:type="dxa"/>
            <w:vAlign w:val="center"/>
          </w:tcPr>
          <w:p>
            <w:pPr>
              <w:jc w:val="right"/>
            </w:pPr>
            <w: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75,495,272.79</w:t>
            </w:r>
          </w:p>
        </w:tc>
        <w:tc>
          <w:tcPr>
            <w:tcW w:w="1749" w:type="dxa"/>
            <w:shd w:val="clear" w:color="auto" w:fill="auto"/>
          </w:tcPr>
          <w:p>
            <w:pPr>
              <w:jc w:val="right"/>
            </w:pPr>
            <w:r>
              <w:t>100.00</w:t>
            </w:r>
          </w:p>
        </w:tc>
        <w:tc>
          <w:tcPr>
            <w:tcW w:w="1653" w:type="dxa"/>
          </w:tcPr>
          <w:p>
            <w:pPr>
              <w:jc w:val="right"/>
            </w:pPr>
            <w:r>
              <w:t>28,791,689.60</w:t>
            </w:r>
          </w:p>
        </w:tc>
        <w:tc>
          <w:tcPr>
            <w:tcW w:w="1705" w:type="dxa"/>
          </w:tcPr>
          <w:p>
            <w:pPr>
              <w:jc w:val="right"/>
            </w:pPr>
            <w:r>
              <w:t>38.14</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5.96%；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中信证券湘稳1号集合资产管理计划</w:t>
            </w:r>
          </w:p>
        </w:tc>
        <w:tc>
          <w:tcPr>
            <w:tcW w:w="2693" w:type="dxa"/>
            <w:shd w:val="clear" w:color="auto" w:fill="auto"/>
            <w:vAlign w:val="center"/>
          </w:tcPr>
          <w:p>
            <w:pPr>
              <w:jc w:val="right"/>
            </w:pPr>
            <w:r>
              <w:t>13,883,232.11</w:t>
            </w:r>
          </w:p>
        </w:tc>
        <w:tc>
          <w:tcPr>
            <w:tcW w:w="2431" w:type="dxa"/>
            <w:shd w:val="clear" w:color="auto" w:fill="auto"/>
            <w:vAlign w:val="center"/>
          </w:tcPr>
          <w:p>
            <w:pPr>
              <w:jc w:val="right"/>
            </w:pPr>
            <w:r>
              <w:t>18.41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博华固收3号资产管理计划</w:t>
            </w:r>
          </w:p>
        </w:tc>
        <w:tc>
          <w:tcPr>
            <w:tcW w:w="2693" w:type="dxa"/>
            <w:shd w:val="clear" w:color="auto" w:fill="auto"/>
            <w:vAlign w:val="center"/>
          </w:tcPr>
          <w:p>
            <w:pPr>
              <w:ind w:hanging="1"/>
              <w:jc w:val="right"/>
            </w:pPr>
            <w:r>
              <w:rPr>
                <w:b w:val="0"/>
                <w:i w:val="0"/>
                <w:strike w:val="0"/>
                <w:u w:val="none"/>
              </w:rPr>
              <w:t>12,333,235.19</w:t>
            </w:r>
          </w:p>
        </w:tc>
        <w:tc>
          <w:tcPr>
            <w:tcW w:w="2431" w:type="dxa"/>
            <w:shd w:val="clear" w:color="auto" w:fill="auto"/>
            <w:vAlign w:val="center"/>
          </w:tcPr>
          <w:p>
            <w:pPr>
              <w:ind w:hanging="1"/>
              <w:jc w:val="right"/>
            </w:pPr>
            <w:r>
              <w:rPr>
                <w:b w:val="0"/>
                <w:i w:val="0"/>
                <w:strike w:val="0"/>
                <w:u w:val="none"/>
              </w:rPr>
              <w:t>16.36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21天易01</w:t>
            </w:r>
          </w:p>
        </w:tc>
        <w:tc>
          <w:tcPr>
            <w:tcW w:w="2693" w:type="dxa"/>
            <w:shd w:val="clear" w:color="auto" w:fill="auto"/>
            <w:vAlign w:val="center"/>
          </w:tcPr>
          <w:p>
            <w:pPr>
              <w:ind w:hanging="1"/>
              <w:jc w:val="right"/>
            </w:pPr>
            <w:r>
              <w:rPr>
                <w:b w:val="0"/>
                <w:i w:val="0"/>
                <w:strike w:val="0"/>
                <w:u w:val="none"/>
              </w:rPr>
              <w:t>6,795,473.97</w:t>
            </w:r>
          </w:p>
        </w:tc>
        <w:tc>
          <w:tcPr>
            <w:tcW w:w="2431" w:type="dxa"/>
            <w:shd w:val="clear" w:color="auto" w:fill="auto"/>
            <w:vAlign w:val="center"/>
          </w:tcPr>
          <w:p>
            <w:pPr>
              <w:ind w:hanging="1"/>
              <w:jc w:val="right"/>
            </w:pPr>
            <w:r>
              <w:rPr>
                <w:b w:val="0"/>
                <w:i w:val="0"/>
                <w:strike w:val="0"/>
                <w:u w:val="none"/>
              </w:rPr>
              <w:t>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24芦淞01</w:t>
            </w:r>
          </w:p>
        </w:tc>
        <w:tc>
          <w:tcPr>
            <w:tcW w:w="2693" w:type="dxa"/>
            <w:shd w:val="clear" w:color="auto" w:fill="auto"/>
            <w:vAlign w:val="center"/>
          </w:tcPr>
          <w:p>
            <w:pPr>
              <w:ind w:hanging="1"/>
              <w:jc w:val="right"/>
            </w:pPr>
            <w:r>
              <w:rPr>
                <w:b w:val="0"/>
                <w:i w:val="0"/>
                <w:strike w:val="0"/>
                <w:u w:val="none"/>
              </w:rPr>
              <w:t>5,996,710.77</w:t>
            </w:r>
          </w:p>
        </w:tc>
        <w:tc>
          <w:tcPr>
            <w:tcW w:w="2431" w:type="dxa"/>
            <w:shd w:val="clear" w:color="auto" w:fill="auto"/>
            <w:vAlign w:val="center"/>
          </w:tcPr>
          <w:p>
            <w:pPr>
              <w:ind w:hanging="1"/>
              <w:jc w:val="right"/>
            </w:pPr>
            <w:r>
              <w:rPr>
                <w:b w:val="0"/>
                <w:i w:val="0"/>
                <w:strike w:val="0"/>
                <w:u w:val="none"/>
              </w:rPr>
              <w:t>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22株城04</w:t>
            </w:r>
          </w:p>
        </w:tc>
        <w:tc>
          <w:tcPr>
            <w:tcW w:w="2693" w:type="dxa"/>
            <w:shd w:val="clear" w:color="auto" w:fill="auto"/>
            <w:vAlign w:val="center"/>
          </w:tcPr>
          <w:p>
            <w:pPr>
              <w:ind w:hanging="1"/>
              <w:jc w:val="right"/>
            </w:pPr>
            <w:r>
              <w:rPr>
                <w:b w:val="0"/>
                <w:i w:val="0"/>
                <w:strike w:val="0"/>
                <w:u w:val="none"/>
              </w:rPr>
              <w:t>4,698,438.14</w:t>
            </w:r>
          </w:p>
        </w:tc>
        <w:tc>
          <w:tcPr>
            <w:tcW w:w="2431" w:type="dxa"/>
            <w:shd w:val="clear" w:color="auto" w:fill="auto"/>
            <w:vAlign w:val="center"/>
          </w:tcPr>
          <w:p>
            <w:pPr>
              <w:ind w:hanging="1"/>
              <w:jc w:val="right"/>
            </w:pPr>
            <w:r>
              <w:rPr>
                <w:b w:val="0"/>
                <w:i w:val="0"/>
                <w:strike w:val="0"/>
                <w:u w:val="none"/>
              </w:rPr>
              <w:t>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24洞庭01</w:t>
            </w:r>
          </w:p>
        </w:tc>
        <w:tc>
          <w:tcPr>
            <w:tcW w:w="2693" w:type="dxa"/>
            <w:shd w:val="clear" w:color="auto" w:fill="auto"/>
            <w:vAlign w:val="center"/>
          </w:tcPr>
          <w:p>
            <w:pPr>
              <w:ind w:hanging="1"/>
              <w:jc w:val="right"/>
            </w:pPr>
            <w:r>
              <w:rPr>
                <w:b w:val="0"/>
                <w:i w:val="0"/>
                <w:strike w:val="0"/>
                <w:u w:val="none"/>
              </w:rPr>
              <w:t>4,367,298.08</w:t>
            </w:r>
          </w:p>
        </w:tc>
        <w:tc>
          <w:tcPr>
            <w:tcW w:w="2431" w:type="dxa"/>
            <w:shd w:val="clear" w:color="auto" w:fill="auto"/>
            <w:vAlign w:val="center"/>
          </w:tcPr>
          <w:p>
            <w:pPr>
              <w:ind w:hanging="1"/>
              <w:jc w:val="right"/>
            </w:pPr>
            <w:r>
              <w:rPr>
                <w:b w:val="0"/>
                <w:i w:val="0"/>
                <w:strike w:val="0"/>
                <w:u w:val="none"/>
              </w:rPr>
              <w:t>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21郑州银行永续债</w:t>
            </w:r>
          </w:p>
        </w:tc>
        <w:tc>
          <w:tcPr>
            <w:tcW w:w="2693" w:type="dxa"/>
            <w:shd w:val="clear" w:color="auto" w:fill="auto"/>
            <w:vAlign w:val="center"/>
          </w:tcPr>
          <w:p>
            <w:pPr>
              <w:ind w:hanging="1"/>
              <w:jc w:val="right"/>
            </w:pPr>
            <w:r>
              <w:rPr>
                <w:b w:val="0"/>
                <w:i w:val="0"/>
                <w:strike w:val="0"/>
                <w:u w:val="none"/>
              </w:rPr>
              <w:t>4,221,972.19</w:t>
            </w:r>
          </w:p>
        </w:tc>
        <w:tc>
          <w:tcPr>
            <w:tcW w:w="2431" w:type="dxa"/>
            <w:shd w:val="clear" w:color="auto" w:fill="auto"/>
            <w:vAlign w:val="center"/>
          </w:tcPr>
          <w:p>
            <w:pPr>
              <w:ind w:hanging="1"/>
              <w:jc w:val="right"/>
            </w:pPr>
            <w:r>
              <w:rPr>
                <w:b w:val="0"/>
                <w:i w:val="0"/>
                <w:strike w:val="0"/>
                <w:u w:val="none"/>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25进出清发01</w:t>
            </w:r>
          </w:p>
        </w:tc>
        <w:tc>
          <w:tcPr>
            <w:tcW w:w="2693" w:type="dxa"/>
            <w:shd w:val="clear" w:color="auto" w:fill="auto"/>
            <w:vAlign w:val="center"/>
          </w:tcPr>
          <w:p>
            <w:pPr>
              <w:ind w:hanging="1"/>
              <w:jc w:val="right"/>
            </w:pPr>
            <w:r>
              <w:rPr>
                <w:b w:val="0"/>
                <w:i w:val="0"/>
                <w:strike w:val="0"/>
                <w:u w:val="none"/>
              </w:rPr>
              <w:t>3,622,911.78</w:t>
            </w:r>
          </w:p>
        </w:tc>
        <w:tc>
          <w:tcPr>
            <w:tcW w:w="2431" w:type="dxa"/>
            <w:shd w:val="clear" w:color="auto" w:fill="auto"/>
            <w:vAlign w:val="center"/>
          </w:tcPr>
          <w:p>
            <w:pPr>
              <w:ind w:hanging="1"/>
              <w:jc w:val="right"/>
            </w:pPr>
            <w:r>
              <w:rPr>
                <w:b w:val="0"/>
                <w:i w:val="0"/>
                <w:strike w:val="0"/>
                <w:u w:val="none"/>
              </w:rP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23潇湘01</w:t>
            </w:r>
          </w:p>
        </w:tc>
        <w:tc>
          <w:tcPr>
            <w:tcW w:w="2693" w:type="dxa"/>
            <w:shd w:val="clear" w:color="auto" w:fill="auto"/>
            <w:vAlign w:val="center"/>
          </w:tcPr>
          <w:p>
            <w:pPr>
              <w:ind w:hanging="1"/>
              <w:jc w:val="right"/>
            </w:pPr>
            <w:r>
              <w:rPr>
                <w:b w:val="0"/>
                <w:i w:val="0"/>
                <w:strike w:val="0"/>
                <w:u w:val="none"/>
              </w:rPr>
              <w:t>3,496,860.82</w:t>
            </w:r>
          </w:p>
        </w:tc>
        <w:tc>
          <w:tcPr>
            <w:tcW w:w="2431" w:type="dxa"/>
            <w:shd w:val="clear" w:color="auto" w:fill="auto"/>
            <w:vAlign w:val="center"/>
          </w:tcPr>
          <w:p>
            <w:pPr>
              <w:ind w:hanging="1"/>
              <w:jc w:val="right"/>
            </w:pPr>
            <w:r>
              <w:rPr>
                <w:b w:val="0"/>
                <w:i w:val="0"/>
                <w:strike w:val="0"/>
                <w:u w:val="none"/>
              </w:rPr>
              <w:t>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21岳阳交投01</w:t>
            </w:r>
          </w:p>
        </w:tc>
        <w:tc>
          <w:tcPr>
            <w:tcW w:w="2693" w:type="dxa"/>
            <w:shd w:val="clear" w:color="auto" w:fill="auto"/>
            <w:vAlign w:val="center"/>
          </w:tcPr>
          <w:p>
            <w:pPr>
              <w:ind w:hanging="1"/>
              <w:jc w:val="right"/>
            </w:pPr>
            <w:r>
              <w:rPr>
                <w:b w:val="0"/>
                <w:i w:val="0"/>
                <w:strike w:val="0"/>
                <w:u w:val="none"/>
              </w:rPr>
              <w:t>3,231,134.68</w:t>
            </w:r>
          </w:p>
        </w:tc>
        <w:tc>
          <w:tcPr>
            <w:tcW w:w="2431" w:type="dxa"/>
            <w:shd w:val="clear" w:color="auto" w:fill="auto"/>
            <w:vAlign w:val="center"/>
          </w:tcPr>
          <w:p>
            <w:pPr>
              <w:ind w:hanging="1"/>
              <w:jc w:val="right"/>
            </w:pPr>
            <w:r>
              <w:rPr>
                <w:b w:val="0"/>
                <w:i w:val="0"/>
                <w:strike w:val="0"/>
                <w:u w:val="none"/>
              </w:rPr>
              <w:t>4.29</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21天易01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6,795,473.97</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9.01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24芦淞01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5,996,710.77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7.95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22株城04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4,698,438.14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6.23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24洞庭01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4,367,298.08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5.79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21郑州银行永续债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4,221,972.19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5.60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25进出清发01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3,622,911.78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4.81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23潇湘01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3,496,860.82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4.64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23望城城投债02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3,356,050.64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4.45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21邵阳城投PPN001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3,237,449.70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4.29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21岳阳交投01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3,231,134.68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4.29</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731903861410852</w:t>
            </w:r>
          </w:p>
        </w:tc>
        <w:tc>
          <w:tcPr>
            <w:tcW w:w="2693" w:type="dxa"/>
            <w:shd w:val="clear" w:color="auto" w:fill="auto"/>
            <w:vAlign w:val="center"/>
          </w:tcPr>
          <w:p>
            <w:pPr>
              <w:spacing w:before="100" w:beforeAutospacing="1" w:after="100" w:afterAutospacing="1"/>
            </w:pPr>
            <w:r>
              <w:t>湖南银行股份有限公司-融智理财添利系列-D365-7理财产品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1F9791F"/>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4</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2026-01-22T08:22:54Z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