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融智理财天天添鑫理财产品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bookmarkStart w:id="0" w:name="OLE_LINK1"/>
            <w:r>
              <w:rPr>
                <w:rFonts w:hint="eastAsia" w:ascii="宋体" w:hAnsi="宋体"/>
              </w:rPr>
              <w:t>融智理财天天添鑫理财产品</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C1136020000005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2020-07-22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1,304,244,535.76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hint="eastAsia" w:ascii="宋体" w:hAnsi="宋体"/>
                <w:highlight w:val="none"/>
              </w:rPr>
              <w:t>人民银行七天通知存款利率+50BP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市价及摊余成本法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100.12%</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净值收益率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0.34</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7"/>
        <w:gridCol w:w="4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547" w:type="dxa"/>
            <w:shd w:val="clear" w:color="auto" w:fill="D9D9D9"/>
            <w:vAlign w:val="center"/>
          </w:tcPr>
          <w:p>
            <w:pPr>
              <w:jc w:val="left"/>
              <w:rPr>
                <w:rFonts w:ascii="宋体" w:hAnsi="宋体"/>
                <w:b/>
              </w:rPr>
            </w:pPr>
            <w:r>
              <w:rPr>
                <w:rFonts w:hint="eastAsia"/>
                <w:b/>
                <w:bCs/>
              </w:rPr>
              <w:t>项目</w:t>
            </w:r>
          </w:p>
        </w:tc>
        <w:tc>
          <w:tcPr>
            <w:tcW w:w="4318"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47" w:type="dxa"/>
            <w:vAlign w:val="center"/>
          </w:tcPr>
          <w:p>
            <w:pPr>
              <w:rPr>
                <w:rFonts w:ascii="宋体" w:hAnsi="宋体"/>
              </w:rPr>
            </w:pPr>
            <w:r>
              <w:rPr>
                <w:rFonts w:hint="eastAsia" w:ascii="宋体" w:hAnsi="宋体"/>
                <w:szCs w:val="21"/>
              </w:rPr>
              <w:t>本期已实现收益</w:t>
            </w:r>
          </w:p>
        </w:tc>
        <w:tc>
          <w:tcPr>
            <w:tcW w:w="4318" w:type="dxa"/>
            <w:vAlign w:val="center"/>
          </w:tcPr>
          <w:p>
            <w:pPr>
              <w:jc w:val="right"/>
            </w:pPr>
            <w:r>
              <w:t>4,768,764.50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4547"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4318" w:type="dxa"/>
            <w:shd w:val="clear" w:color="auto" w:fill="auto"/>
            <w:vAlign w:val="center"/>
          </w:tcPr>
          <w:p>
            <w:pPr>
              <w:ind w:hanging="1"/>
              <w:jc w:val="right"/>
            </w:pPr>
            <w:r>
              <w:rPr>
                <w:b w:val="0"/>
                <w:i w:val="0"/>
                <w:strike w:val="0"/>
                <w:u w:val="none"/>
              </w:rPr>
              <w:t>4,768,764.50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47"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4318" w:type="dxa"/>
            <w:shd w:val="clear" w:color="auto" w:fill="auto"/>
            <w:vAlign w:val="center"/>
          </w:tcPr>
          <w:p>
            <w:pPr>
              <w:ind w:hanging="1"/>
              <w:jc w:val="right"/>
            </w:pPr>
            <w:r>
              <w:rPr>
                <w:b w:val="0"/>
                <w:i w:val="0"/>
                <w:strike w:val="0"/>
                <w:u w:val="none"/>
              </w:rPr>
              <w:t>1,304,244,535.76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47" w:type="dxa"/>
            <w:shd w:val="clear" w:color="auto" w:fill="auto"/>
            <w:vAlign w:val="center"/>
          </w:tcPr>
          <w:p>
            <w:pPr>
              <w:ind w:hanging="1"/>
              <w:jc w:val="left"/>
              <w:rPr>
                <w:rFonts w:ascii="宋体" w:hAnsi="宋体"/>
              </w:rPr>
            </w:pPr>
            <w:r>
              <w:rPr>
                <w:rFonts w:hint="eastAsia" w:ascii="宋体" w:hAnsi="宋体"/>
                <w:b w:val="0"/>
                <w:i w:val="0"/>
                <w:strike w:val="0"/>
                <w:u w:val="none"/>
              </w:rPr>
              <w:t>期末产品万份收益</w:t>
            </w:r>
          </w:p>
        </w:tc>
        <w:tc>
          <w:tcPr>
            <w:tcW w:w="4318" w:type="dxa"/>
            <w:shd w:val="clear" w:color="auto" w:fill="auto"/>
            <w:vAlign w:val="center"/>
          </w:tcPr>
          <w:p>
            <w:pPr>
              <w:ind w:hanging="1"/>
              <w:jc w:val="right"/>
            </w:pPr>
            <w:r>
              <w:rPr>
                <w:b w:val="0"/>
                <w:i w:val="0"/>
                <w:strike w:val="0"/>
                <w:u w:val="none"/>
              </w:rPr>
              <w:t>0.2998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47" w:type="dxa"/>
            <w:shd w:val="clear" w:color="auto" w:fill="auto"/>
            <w:vAlign w:val="center"/>
          </w:tcPr>
          <w:p>
            <w:pPr>
              <w:ind w:hanging="1"/>
              <w:jc w:val="left"/>
              <w:rPr>
                <w:rFonts w:ascii="宋体" w:hAnsi="宋体"/>
              </w:rPr>
            </w:pPr>
            <w:r>
              <w:rPr>
                <w:rFonts w:hint="eastAsia" w:ascii="宋体" w:hAnsi="宋体"/>
                <w:b w:val="0"/>
                <w:i w:val="0"/>
                <w:strike w:val="0"/>
                <w:u w:val="none"/>
              </w:rPr>
              <w:t>期末产品七日年化收益率</w:t>
            </w:r>
          </w:p>
        </w:tc>
        <w:tc>
          <w:tcPr>
            <w:tcW w:w="4318" w:type="dxa"/>
            <w:shd w:val="clear" w:color="auto" w:fill="auto"/>
            <w:vAlign w:val="center"/>
          </w:tcPr>
          <w:p>
            <w:pPr>
              <w:ind w:hanging="1"/>
              <w:jc w:val="right"/>
            </w:pPr>
            <w:r>
              <w:rPr>
                <w:b w:val="0"/>
                <w:i w:val="0"/>
                <w:strike w:val="0"/>
                <w:u w:val="none"/>
              </w:rPr>
              <w:t>1.3572%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47"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4318" w:type="dxa"/>
            <w:vAlign w:val="center"/>
          </w:tcPr>
          <w:p>
            <w:pPr>
              <w:jc w:val="right"/>
              <w:rPr>
                <w:rFonts w:hint="eastAsia"/>
                <w:lang w:val="en-US" w:eastAsia="zh-CN"/>
              </w:rPr>
            </w:pPr>
            <w:r>
              <w:rPr>
                <w:rFonts w:hint="eastAsia"/>
              </w:rPr>
              <w:t>1,304,244,535.76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47" w:type="dxa"/>
            <w:vAlign w:val="center"/>
          </w:tcPr>
          <w:p>
            <w:pPr>
              <w:rPr>
                <w:rFonts w:hint="eastAsia" w:ascii="宋体" w:hAnsi="宋体" w:eastAsia="宋体" w:cs="Times New Roman"/>
                <w:b/>
                <w:bCs/>
                <w:kern w:val="2"/>
                <w:sz w:val="21"/>
                <w:lang w:val="en-US" w:eastAsia="zh-CN" w:bidi="ar-SA"/>
              </w:rPr>
            </w:pPr>
            <w:r>
              <w:rPr>
                <w:rFonts w:hint="eastAsia" w:ascii="宋体" w:hAnsi="宋体"/>
                <w:szCs w:val="21"/>
                <w:highlight w:val="none"/>
                <w:lang w:val="en-US" w:eastAsia="zh-CN"/>
              </w:rPr>
              <w:t>当期最后一个市场交易日产品万份收益</w:t>
            </w:r>
          </w:p>
        </w:tc>
        <w:tc>
          <w:tcPr>
            <w:tcW w:w="4318" w:type="dxa"/>
            <w:vAlign w:val="center"/>
          </w:tcPr>
          <w:p>
            <w:pPr>
              <w:ind w:hanging="1" w:firstLineChars="0"/>
              <w:jc w:val="right"/>
              <w:rPr>
                <w:rFonts w:hint="eastAsia"/>
                <w:lang w:val="en-US" w:eastAsia="zh-CN"/>
              </w:rPr>
            </w:pPr>
            <w:r>
              <w:rPr>
                <w:b w:val="0"/>
                <w:i w:val="0"/>
                <w:strike w:val="0"/>
                <w:u w:val="none"/>
              </w:rPr>
              <w:t>0.2998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47" w:type="dxa"/>
            <w:vAlign w:val="center"/>
          </w:tcPr>
          <w:p>
            <w:pPr>
              <w:rPr>
                <w:rFonts w:hint="eastAsia" w:ascii="宋体" w:hAnsi="宋体" w:eastAsia="宋体" w:cs="Times New Roman"/>
                <w:kern w:val="2"/>
                <w:sz w:val="21"/>
                <w:lang w:val="en-US" w:eastAsia="zh-CN" w:bidi="ar-SA"/>
              </w:rPr>
            </w:pPr>
            <w:r>
              <w:rPr>
                <w:rFonts w:hint="eastAsia" w:ascii="宋体" w:hAnsi="宋体"/>
                <w:szCs w:val="21"/>
                <w:highlight w:val="none"/>
                <w:lang w:val="en-US" w:eastAsia="zh-CN"/>
              </w:rPr>
              <w:t>当期最后一个市场交易日产品七日年化收益率</w:t>
            </w:r>
          </w:p>
        </w:tc>
        <w:tc>
          <w:tcPr>
            <w:tcW w:w="4318" w:type="dxa"/>
            <w:vAlign w:val="center"/>
          </w:tcPr>
          <w:p>
            <w:pPr>
              <w:ind w:hanging="1" w:firstLineChars="0"/>
              <w:jc w:val="right"/>
              <w:rPr>
                <w:rFonts w:hint="eastAsia"/>
                <w:lang w:val="en-US" w:eastAsia="zh-CN"/>
              </w:rPr>
            </w:pPr>
            <w:r>
              <w:rPr>
                <w:b w:val="0"/>
                <w:i w:val="0"/>
                <w:strike w:val="0"/>
                <w:u w:val="none"/>
              </w:rPr>
              <w:t>1.3572%</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投资于高等级货币市场工具。主要精选高等级高流动性的银行同业存单，严格控制组合期限，合理安排资产到期分布，基于对资金市场和短期资产价格波动特征以及期限利差变化情况的研究，灵活选择配置资产期限，努力实现相对稳健的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1,270,553,400.29</w:t>
            </w:r>
          </w:p>
        </w:tc>
        <w:tc>
          <w:tcPr>
            <w:tcW w:w="1749" w:type="dxa"/>
            <w:shd w:val="clear" w:color="auto" w:fill="auto"/>
            <w:vAlign w:val="center"/>
          </w:tcPr>
          <w:p>
            <w:pPr>
              <w:jc w:val="right"/>
            </w:pPr>
            <w:r>
              <w:t>97.30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1,270,553,400.29</w:t>
            </w:r>
          </w:p>
        </w:tc>
        <w:tc>
          <w:tcPr>
            <w:tcW w:w="1749" w:type="dxa"/>
            <w:shd w:val="clear" w:color="auto" w:fill="auto"/>
            <w:vAlign w:val="center"/>
          </w:tcPr>
          <w:p>
            <w:pPr>
              <w:jc w:val="right"/>
            </w:pPr>
            <w:r>
              <w:t>97.30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34,002,343.27</w:t>
            </w:r>
          </w:p>
        </w:tc>
        <w:tc>
          <w:tcPr>
            <w:tcW w:w="1749" w:type="dxa"/>
            <w:shd w:val="clear" w:color="auto" w:fill="auto"/>
            <w:vAlign w:val="center"/>
          </w:tcPr>
          <w:p>
            <w:pPr>
              <w:jc w:val="right"/>
            </w:pPr>
            <w:r>
              <w:t>2.60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1,309,838.28</w:t>
            </w:r>
          </w:p>
        </w:tc>
        <w:tc>
          <w:tcPr>
            <w:tcW w:w="1749" w:type="dxa"/>
            <w:shd w:val="clear" w:color="auto" w:fill="auto"/>
            <w:vAlign w:val="center"/>
          </w:tcPr>
          <w:p>
            <w:pPr>
              <w:jc w:val="right"/>
            </w:pPr>
            <w:r>
              <w:t>0.10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1,305,865,581.84</w:t>
            </w:r>
          </w:p>
        </w:tc>
        <w:tc>
          <w:tcPr>
            <w:tcW w:w="1749" w:type="dxa"/>
            <w:shd w:val="clear" w:color="auto" w:fill="auto"/>
          </w:tcPr>
          <w:p>
            <w:pPr>
              <w:jc w:val="right"/>
            </w:pPr>
            <w:r>
              <w:t>100.00</w:t>
            </w:r>
          </w:p>
        </w:tc>
        <w:tc>
          <w:tcPr>
            <w:tcW w:w="1653" w:type="dxa"/>
          </w:tcPr>
          <w:p>
            <w:pPr>
              <w:jc w:val="right"/>
            </w:pPr>
            <w:r>
              <w:t>0.00</w:t>
            </w:r>
          </w:p>
        </w:tc>
        <w:tc>
          <w:tcPr>
            <w:tcW w:w="1705" w:type="dxa"/>
          </w:tcPr>
          <w:p>
            <w:pPr>
              <w:jc w:val="right"/>
            </w:pPr>
            <w:r>
              <w:t>0.00</w:t>
            </w:r>
          </w:p>
        </w:tc>
      </w:tr>
    </w:tbl>
    <w:p>
      <w:pPr>
        <w:ind w:left="420" w:leftChars="200"/>
        <w:jc w:val="left"/>
        <w:rPr>
          <w:rFonts w:ascii="宋体" w:hAnsi="宋体"/>
          <w:sz w:val="24"/>
        </w:rPr>
      </w:pP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11.80%；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25国开01</w:t>
            </w:r>
          </w:p>
        </w:tc>
        <w:tc>
          <w:tcPr>
            <w:tcW w:w="2693" w:type="dxa"/>
            <w:shd w:val="clear" w:color="auto" w:fill="auto"/>
            <w:vAlign w:val="center"/>
          </w:tcPr>
          <w:p>
            <w:pPr>
              <w:jc w:val="right"/>
            </w:pPr>
            <w:r>
              <w:t>101,079,404.92</w:t>
            </w:r>
          </w:p>
        </w:tc>
        <w:tc>
          <w:tcPr>
            <w:tcW w:w="2431" w:type="dxa"/>
            <w:shd w:val="clear" w:color="auto" w:fill="auto"/>
            <w:vAlign w:val="center"/>
          </w:tcPr>
          <w:p>
            <w:pPr>
              <w:jc w:val="right"/>
            </w:pPr>
            <w:r>
              <w:t>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25建设银行CD294</w:t>
            </w:r>
          </w:p>
        </w:tc>
        <w:tc>
          <w:tcPr>
            <w:tcW w:w="2693" w:type="dxa"/>
            <w:shd w:val="clear" w:color="auto" w:fill="auto"/>
            <w:vAlign w:val="center"/>
          </w:tcPr>
          <w:p>
            <w:pPr>
              <w:ind w:hanging="1"/>
              <w:jc w:val="right"/>
            </w:pPr>
            <w:r>
              <w:rPr>
                <w:b w:val="0"/>
                <w:i w:val="0"/>
                <w:strike w:val="0"/>
                <w:u w:val="none"/>
              </w:rPr>
              <w:t>99,935,068.02</w:t>
            </w:r>
          </w:p>
        </w:tc>
        <w:tc>
          <w:tcPr>
            <w:tcW w:w="2431" w:type="dxa"/>
            <w:shd w:val="clear" w:color="auto" w:fill="auto"/>
            <w:vAlign w:val="center"/>
          </w:tcPr>
          <w:p>
            <w:pPr>
              <w:ind w:hanging="1"/>
              <w:jc w:val="right"/>
            </w:pPr>
            <w:r>
              <w:rPr>
                <w:b w:val="0"/>
                <w:i w:val="0"/>
                <w:strike w:val="0"/>
                <w:u w:val="none"/>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25河北银行CD019</w:t>
            </w:r>
          </w:p>
        </w:tc>
        <w:tc>
          <w:tcPr>
            <w:tcW w:w="2693" w:type="dxa"/>
            <w:shd w:val="clear" w:color="auto" w:fill="auto"/>
            <w:vAlign w:val="center"/>
          </w:tcPr>
          <w:p>
            <w:pPr>
              <w:ind w:hanging="1"/>
              <w:jc w:val="right"/>
            </w:pPr>
            <w:r>
              <w:rPr>
                <w:b w:val="0"/>
                <w:i w:val="0"/>
                <w:strike w:val="0"/>
                <w:u w:val="none"/>
              </w:rPr>
              <w:t>99,725,721.16</w:t>
            </w:r>
          </w:p>
        </w:tc>
        <w:tc>
          <w:tcPr>
            <w:tcW w:w="2431" w:type="dxa"/>
            <w:shd w:val="clear" w:color="auto" w:fill="auto"/>
            <w:vAlign w:val="center"/>
          </w:tcPr>
          <w:p>
            <w:pPr>
              <w:ind w:hanging="1"/>
              <w:jc w:val="right"/>
            </w:pPr>
            <w:r>
              <w:rPr>
                <w:b w:val="0"/>
                <w:i w:val="0"/>
                <w:strike w:val="0"/>
                <w:u w:val="none"/>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25宁波银行CD274</w:t>
            </w:r>
          </w:p>
        </w:tc>
        <w:tc>
          <w:tcPr>
            <w:tcW w:w="2693" w:type="dxa"/>
            <w:shd w:val="clear" w:color="auto" w:fill="auto"/>
            <w:vAlign w:val="center"/>
          </w:tcPr>
          <w:p>
            <w:pPr>
              <w:ind w:hanging="1"/>
              <w:jc w:val="right"/>
            </w:pPr>
            <w:r>
              <w:rPr>
                <w:b w:val="0"/>
                <w:i w:val="0"/>
                <w:strike w:val="0"/>
                <w:u w:val="none"/>
              </w:rPr>
              <w:t>99,697,402.89</w:t>
            </w:r>
          </w:p>
        </w:tc>
        <w:tc>
          <w:tcPr>
            <w:tcW w:w="2431" w:type="dxa"/>
            <w:shd w:val="clear" w:color="auto" w:fill="auto"/>
            <w:vAlign w:val="center"/>
          </w:tcPr>
          <w:p>
            <w:pPr>
              <w:ind w:hanging="1"/>
              <w:jc w:val="right"/>
            </w:pPr>
            <w:r>
              <w:rPr>
                <w:b w:val="0"/>
                <w:i w:val="0"/>
                <w:strike w:val="0"/>
                <w:u w:val="none"/>
              </w:rPr>
              <w:t>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25建设银行CD296</w:t>
            </w:r>
          </w:p>
        </w:tc>
        <w:tc>
          <w:tcPr>
            <w:tcW w:w="2693" w:type="dxa"/>
            <w:shd w:val="clear" w:color="auto" w:fill="auto"/>
            <w:vAlign w:val="center"/>
          </w:tcPr>
          <w:p>
            <w:pPr>
              <w:ind w:hanging="1"/>
              <w:jc w:val="right"/>
            </w:pPr>
            <w:r>
              <w:rPr>
                <w:b w:val="0"/>
                <w:i w:val="0"/>
                <w:strike w:val="0"/>
                <w:u w:val="none"/>
              </w:rPr>
              <w:t>99,130,256.36</w:t>
            </w:r>
          </w:p>
        </w:tc>
        <w:tc>
          <w:tcPr>
            <w:tcW w:w="2431" w:type="dxa"/>
            <w:shd w:val="clear" w:color="auto" w:fill="auto"/>
            <w:vAlign w:val="center"/>
          </w:tcPr>
          <w:p>
            <w:pPr>
              <w:ind w:hanging="1"/>
              <w:jc w:val="right"/>
            </w:pPr>
            <w:r>
              <w:rPr>
                <w:b w:val="0"/>
                <w:i w:val="0"/>
                <w:strike w:val="0"/>
                <w:u w:val="none"/>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25成都农商银行CD052</w:t>
            </w:r>
          </w:p>
        </w:tc>
        <w:tc>
          <w:tcPr>
            <w:tcW w:w="2693" w:type="dxa"/>
            <w:shd w:val="clear" w:color="auto" w:fill="auto"/>
            <w:vAlign w:val="center"/>
          </w:tcPr>
          <w:p>
            <w:pPr>
              <w:ind w:hanging="1"/>
              <w:jc w:val="right"/>
            </w:pPr>
            <w:r>
              <w:rPr>
                <w:b w:val="0"/>
                <w:i w:val="0"/>
                <w:strike w:val="0"/>
                <w:u w:val="none"/>
              </w:rPr>
              <w:t>69,596,955.75</w:t>
            </w:r>
          </w:p>
        </w:tc>
        <w:tc>
          <w:tcPr>
            <w:tcW w:w="2431" w:type="dxa"/>
            <w:shd w:val="clear" w:color="auto" w:fill="auto"/>
            <w:vAlign w:val="center"/>
          </w:tcPr>
          <w:p>
            <w:pPr>
              <w:ind w:hanging="1"/>
              <w:jc w:val="right"/>
            </w:pPr>
            <w:r>
              <w:rPr>
                <w:b w:val="0"/>
                <w:i w:val="0"/>
                <w:strike w:val="0"/>
                <w:u w:val="none"/>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25晋商银行CD114</w:t>
            </w:r>
          </w:p>
        </w:tc>
        <w:tc>
          <w:tcPr>
            <w:tcW w:w="2693" w:type="dxa"/>
            <w:shd w:val="clear" w:color="auto" w:fill="auto"/>
            <w:vAlign w:val="center"/>
          </w:tcPr>
          <w:p>
            <w:pPr>
              <w:ind w:hanging="1"/>
              <w:jc w:val="right"/>
            </w:pPr>
            <w:r>
              <w:rPr>
                <w:b w:val="0"/>
                <w:i w:val="0"/>
                <w:strike w:val="0"/>
                <w:u w:val="none"/>
              </w:rPr>
              <w:t>59,803,170.13</w:t>
            </w:r>
          </w:p>
        </w:tc>
        <w:tc>
          <w:tcPr>
            <w:tcW w:w="2431" w:type="dxa"/>
            <w:shd w:val="clear" w:color="auto" w:fill="auto"/>
            <w:vAlign w:val="center"/>
          </w:tcPr>
          <w:p>
            <w:pPr>
              <w:ind w:hanging="1"/>
              <w:jc w:val="right"/>
            </w:pPr>
            <w:r>
              <w:rPr>
                <w:b w:val="0"/>
                <w:i w:val="0"/>
                <w:strike w:val="0"/>
                <w:u w:val="none"/>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16农发08</w:t>
            </w:r>
          </w:p>
        </w:tc>
        <w:tc>
          <w:tcPr>
            <w:tcW w:w="2693" w:type="dxa"/>
            <w:shd w:val="clear" w:color="auto" w:fill="auto"/>
            <w:vAlign w:val="center"/>
          </w:tcPr>
          <w:p>
            <w:pPr>
              <w:ind w:hanging="1"/>
              <w:jc w:val="right"/>
            </w:pPr>
            <w:r>
              <w:rPr>
                <w:b w:val="0"/>
                <w:i w:val="0"/>
                <w:strike w:val="0"/>
                <w:u w:val="none"/>
              </w:rPr>
              <w:t>51,566,208.56</w:t>
            </w:r>
          </w:p>
        </w:tc>
        <w:tc>
          <w:tcPr>
            <w:tcW w:w="2431" w:type="dxa"/>
            <w:shd w:val="clear" w:color="auto" w:fill="auto"/>
            <w:vAlign w:val="center"/>
          </w:tcPr>
          <w:p>
            <w:pPr>
              <w:ind w:hanging="1"/>
              <w:jc w:val="right"/>
            </w:pPr>
            <w:r>
              <w:rPr>
                <w:b w:val="0"/>
                <w:i w:val="0"/>
                <w:strike w:val="0"/>
                <w:u w:val="none"/>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25平安银行CD148</w:t>
            </w:r>
          </w:p>
        </w:tc>
        <w:tc>
          <w:tcPr>
            <w:tcW w:w="2693" w:type="dxa"/>
            <w:shd w:val="clear" w:color="auto" w:fill="auto"/>
            <w:vAlign w:val="center"/>
          </w:tcPr>
          <w:p>
            <w:pPr>
              <w:ind w:hanging="1"/>
              <w:jc w:val="right"/>
            </w:pPr>
            <w:r>
              <w:rPr>
                <w:b w:val="0"/>
                <w:i w:val="0"/>
                <w:strike w:val="0"/>
                <w:u w:val="none"/>
              </w:rPr>
              <w:t>49,914,208.68</w:t>
            </w:r>
          </w:p>
        </w:tc>
        <w:tc>
          <w:tcPr>
            <w:tcW w:w="2431" w:type="dxa"/>
            <w:shd w:val="clear" w:color="auto" w:fill="auto"/>
            <w:vAlign w:val="center"/>
          </w:tcPr>
          <w:p>
            <w:pPr>
              <w:ind w:hanging="1"/>
              <w:jc w:val="right"/>
            </w:pPr>
            <w:r>
              <w:rPr>
                <w:b w:val="0"/>
                <w:i w:val="0"/>
                <w:strike w:val="0"/>
                <w:u w:val="none"/>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25东莞农村商业银行CD131</w:t>
            </w:r>
          </w:p>
        </w:tc>
        <w:tc>
          <w:tcPr>
            <w:tcW w:w="2693" w:type="dxa"/>
            <w:shd w:val="clear" w:color="auto" w:fill="auto"/>
            <w:vAlign w:val="center"/>
          </w:tcPr>
          <w:p>
            <w:pPr>
              <w:ind w:hanging="1"/>
              <w:jc w:val="right"/>
            </w:pPr>
            <w:r>
              <w:rPr>
                <w:b w:val="0"/>
                <w:i w:val="0"/>
                <w:strike w:val="0"/>
                <w:u w:val="none"/>
              </w:rPr>
              <w:t>49,865,917.82</w:t>
            </w:r>
          </w:p>
        </w:tc>
        <w:tc>
          <w:tcPr>
            <w:tcW w:w="2431" w:type="dxa"/>
            <w:shd w:val="clear" w:color="auto" w:fill="auto"/>
            <w:vAlign w:val="center"/>
          </w:tcPr>
          <w:p>
            <w:pPr>
              <w:ind w:hanging="1"/>
              <w:jc w:val="right"/>
            </w:pPr>
            <w:r>
              <w:rPr>
                <w:b w:val="0"/>
                <w:i w:val="0"/>
                <w:strike w:val="0"/>
                <w:u w:val="none"/>
              </w:rPr>
              <w:t>3.82</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1" w:name="OLE_LINK2"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25国开01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101,079,404.92</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7.75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25建设银行CD294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99,935,068.02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25河北银行CD019</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99,725,721.16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25宁波银行CD274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99,697,402.89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25建设银行CD296</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99,130,256.36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25成都农商银行CD052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69,596,955.75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5.34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25晋商银行CD1</w:t>
            </w:r>
            <w:bookmarkStart w:id="2" w:name="_GoBack"/>
            <w:bookmarkEnd w:id="2"/>
            <w:r>
              <w:rPr>
                <w:rFonts w:asciiTheme="majorEastAsia" w:hAnsiTheme="majorEastAsia" w:eastAsiaTheme="majorEastAsia"/>
                <w:b w:val="0"/>
                <w:i w:val="0"/>
                <w:strike w:val="0"/>
                <w:u w:val="none"/>
              </w:rPr>
              <w:t>14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59,803,170.13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4.59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16农发08</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51,566,208.56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3.95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25平安银行CD148</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49,914,208.68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3.83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25东莞农村商业银行CD131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49,865,917.82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3.82</w:t>
            </w:r>
          </w:p>
        </w:tc>
      </w:tr>
      <w:bookmarkEnd w:id="1"/>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731903861410238</w:t>
            </w:r>
          </w:p>
        </w:tc>
        <w:tc>
          <w:tcPr>
            <w:tcW w:w="2693" w:type="dxa"/>
            <w:shd w:val="clear" w:color="auto" w:fill="auto"/>
            <w:vAlign w:val="center"/>
          </w:tcPr>
          <w:p>
            <w:pPr>
              <w:spacing w:before="100" w:beforeAutospacing="1" w:after="100" w:afterAutospacing="1"/>
            </w:pPr>
            <w:r>
              <w:t>湖南银行股份有限公司-融智理财天天添鑫理财产品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4DA2804"/>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8FE36A3"/>
    <w:rsid w:val="3BF14519"/>
    <w:rsid w:val="3CD5770B"/>
    <w:rsid w:val="3F2303CA"/>
    <w:rsid w:val="40C95454"/>
    <w:rsid w:val="41954087"/>
    <w:rsid w:val="46BD0280"/>
    <w:rsid w:val="47492D5E"/>
    <w:rsid w:val="47B462D0"/>
    <w:rsid w:val="49162E5D"/>
    <w:rsid w:val="4C1A69E7"/>
    <w:rsid w:val="526F3658"/>
    <w:rsid w:val="52815F76"/>
    <w:rsid w:val="531A4DC6"/>
    <w:rsid w:val="55402B13"/>
    <w:rsid w:val="57FF05C1"/>
    <w:rsid w:val="5B6A0607"/>
    <w:rsid w:val="5EA11203"/>
    <w:rsid w:val="5F8E5B7D"/>
    <w:rsid w:val="61D81429"/>
    <w:rsid w:val="64E93490"/>
    <w:rsid w:val="65D33D68"/>
    <w:rsid w:val="67BE36F1"/>
    <w:rsid w:val="68ED128A"/>
    <w:rsid w:val="69250396"/>
    <w:rsid w:val="69B96988"/>
    <w:rsid w:val="6AEF2792"/>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401</Words>
  <Characters>2291</Characters>
  <Lines>19</Lines>
  <Paragraphs>5</Paragraphs>
  <TotalTime>2</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2026-01-22T07:30:08Z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