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bookmarkStart w:id="0" w:name="OLE_LINK1"/>
      <w:r>
        <w:rPr>
          <w:rFonts w:ascii="宋体" w:hAnsi="宋体"/>
          <w:b/>
          <w:bCs/>
          <w:sz w:val="48"/>
          <w:szCs w:val="30"/>
        </w:rPr>
        <w:t>融智理财添利系列-D90-2理财产品</w:t>
      </w:r>
      <w:bookmarkEnd w:id="0"/>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融智理财添利系列-D90-2理财产品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C1136020000070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2020-05-21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97,314,117.02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[1.5%-2.5%]/年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100.14%</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1" w:name="OLE_LINK4"/>
            <w:bookmarkEnd w:id="1"/>
            <w:bookmarkStart w:id="2" w:name="OLE_LINK7"/>
            <w:bookmarkEnd w:id="2"/>
            <w:r>
              <w:t>21.35</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431,346.66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578,201.42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118,089,489.45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1.2135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1.2135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118,089,489.45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1.2135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1.2135</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73,904,431.22</w:t>
            </w:r>
          </w:p>
        </w:tc>
        <w:tc>
          <w:tcPr>
            <w:tcW w:w="1749" w:type="dxa"/>
            <w:shd w:val="clear" w:color="auto" w:fill="auto"/>
            <w:vAlign w:val="center"/>
          </w:tcPr>
          <w:p>
            <w:pPr>
              <w:jc w:val="right"/>
            </w:pPr>
            <w:r>
              <w:t>62.50</w:t>
            </w:r>
          </w:p>
        </w:tc>
        <w:tc>
          <w:tcPr>
            <w:tcW w:w="1653" w:type="dxa"/>
            <w:vAlign w:val="center"/>
          </w:tcPr>
          <w:p>
            <w:pPr>
              <w:jc w:val="right"/>
            </w:pPr>
            <w:r>
              <w:t>3,270,779.91</w:t>
            </w:r>
          </w:p>
        </w:tc>
        <w:tc>
          <w:tcPr>
            <w:tcW w:w="1705" w:type="dxa"/>
            <w:vAlign w:val="center"/>
          </w:tcPr>
          <w:p>
            <w:pPr>
              <w:jc w:val="right"/>
            </w:pPr>
            <w: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71,382,873.74</w:t>
            </w:r>
          </w:p>
        </w:tc>
        <w:tc>
          <w:tcPr>
            <w:tcW w:w="1749" w:type="dxa"/>
            <w:shd w:val="clear" w:color="auto" w:fill="auto"/>
            <w:vAlign w:val="center"/>
          </w:tcPr>
          <w:p>
            <w:pPr>
              <w:jc w:val="right"/>
            </w:pPr>
            <w:r>
              <w:t>60.36</w:t>
            </w:r>
          </w:p>
        </w:tc>
        <w:tc>
          <w:tcPr>
            <w:tcW w:w="1653" w:type="dxa"/>
            <w:vAlign w:val="center"/>
          </w:tcPr>
          <w:p>
            <w:pPr>
              <w:jc w:val="right"/>
            </w:pPr>
            <w:r>
              <w:t>3,270,779.91</w:t>
            </w:r>
          </w:p>
        </w:tc>
        <w:tc>
          <w:tcPr>
            <w:tcW w:w="1705" w:type="dxa"/>
            <w:vAlign w:val="center"/>
          </w:tcPr>
          <w:p>
            <w:pPr>
              <w:jc w:val="right"/>
            </w:pPr>
            <w: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2,521,557.48</w:t>
            </w:r>
          </w:p>
        </w:tc>
        <w:tc>
          <w:tcPr>
            <w:tcW w:w="1749" w:type="dxa"/>
            <w:shd w:val="clear" w:color="auto" w:fill="auto"/>
            <w:vAlign w:val="center"/>
          </w:tcPr>
          <w:p>
            <w:pPr>
              <w:jc w:val="right"/>
            </w:pPr>
            <w:r>
              <w:t>2.13</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845,874.77</w:t>
            </w:r>
          </w:p>
        </w:tc>
        <w:tc>
          <w:tcPr>
            <w:tcW w:w="1749" w:type="dxa"/>
            <w:shd w:val="clear" w:color="auto" w:fill="auto"/>
            <w:vAlign w:val="center"/>
          </w:tcPr>
          <w:p>
            <w:pPr>
              <w:jc w:val="right"/>
            </w:pPr>
            <w:r>
              <w:t>0.72</w:t>
            </w:r>
          </w:p>
        </w:tc>
        <w:tc>
          <w:tcPr>
            <w:tcW w:w="1653" w:type="dxa"/>
            <w:vAlign w:val="center"/>
          </w:tcPr>
          <w:p>
            <w:pPr>
              <w:jc w:val="right"/>
            </w:pPr>
            <w:r>
              <w:t>47,556.53</w:t>
            </w:r>
          </w:p>
        </w:tc>
        <w:tc>
          <w:tcPr>
            <w:tcW w:w="1705" w:type="dxa"/>
            <w:vAlign w:val="center"/>
          </w:tcPr>
          <w:p>
            <w:pPr>
              <w:jc w:val="right"/>
            </w:pPr>
            <w: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3,388,090.96</w:t>
            </w:r>
          </w:p>
        </w:tc>
        <w:tc>
          <w:tcPr>
            <w:tcW w:w="1749" w:type="dxa"/>
            <w:shd w:val="clear" w:color="auto" w:fill="auto"/>
            <w:vAlign w:val="center"/>
          </w:tcPr>
          <w:p>
            <w:pPr>
              <w:jc w:val="right"/>
            </w:pPr>
            <w:r>
              <w:t>2.87</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40,115,421.63</w:t>
            </w:r>
          </w:p>
        </w:tc>
        <w:tc>
          <w:tcPr>
            <w:tcW w:w="1749" w:type="dxa"/>
            <w:shd w:val="clear" w:color="auto" w:fill="auto"/>
            <w:vAlign w:val="center"/>
          </w:tcPr>
          <w:p>
            <w:pPr>
              <w:jc w:val="right"/>
            </w:pPr>
            <w:r>
              <w:t>33.92</w:t>
            </w:r>
          </w:p>
        </w:tc>
        <w:tc>
          <w:tcPr>
            <w:tcW w:w="1653" w:type="dxa"/>
            <w:vAlign w:val="center"/>
          </w:tcPr>
          <w:p>
            <w:pPr>
              <w:jc w:val="right"/>
            </w:pPr>
            <w:r>
              <w:t>71,423.61</w:t>
            </w:r>
          </w:p>
        </w:tc>
        <w:tc>
          <w:tcPr>
            <w:tcW w:w="1705" w:type="dxa"/>
            <w:vAlign w:val="center"/>
          </w:tcPr>
          <w:p>
            <w:pPr>
              <w:jc w:val="right"/>
            </w:pPr>
            <w: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118,253,818.58</w:t>
            </w:r>
          </w:p>
        </w:tc>
        <w:tc>
          <w:tcPr>
            <w:tcW w:w="1749" w:type="dxa"/>
            <w:shd w:val="clear" w:color="auto" w:fill="auto"/>
          </w:tcPr>
          <w:p>
            <w:pPr>
              <w:jc w:val="right"/>
            </w:pPr>
            <w:r>
              <w:t>100.00</w:t>
            </w:r>
          </w:p>
        </w:tc>
        <w:tc>
          <w:tcPr>
            <w:tcW w:w="1653" w:type="dxa"/>
          </w:tcPr>
          <w:p>
            <w:pPr>
              <w:jc w:val="right"/>
            </w:pPr>
            <w:r>
              <w:t>3,389,760.06</w:t>
            </w:r>
          </w:p>
        </w:tc>
        <w:tc>
          <w:tcPr>
            <w:tcW w:w="1705" w:type="dxa"/>
          </w:tcPr>
          <w:p>
            <w:pPr>
              <w:jc w:val="right"/>
            </w:pPr>
            <w:r>
              <w:t>2.87</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6.77%；直接或间接持有的非标准化债权资产占比33.97%，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902-湖南银行海尔消费金融20251106</w:t>
            </w:r>
          </w:p>
        </w:tc>
        <w:tc>
          <w:tcPr>
            <w:tcW w:w="2693" w:type="dxa"/>
            <w:shd w:val="clear" w:color="auto" w:fill="auto"/>
            <w:vAlign w:val="center"/>
          </w:tcPr>
          <w:p>
            <w:pPr>
              <w:jc w:val="right"/>
            </w:pPr>
            <w:r>
              <w:t>40,115,416.44</w:t>
            </w:r>
          </w:p>
        </w:tc>
        <w:tc>
          <w:tcPr>
            <w:tcW w:w="2431" w:type="dxa"/>
            <w:shd w:val="clear" w:color="auto" w:fill="auto"/>
            <w:vAlign w:val="center"/>
          </w:tcPr>
          <w:p>
            <w:pPr>
              <w:jc w:val="right"/>
            </w:pPr>
            <w:r>
              <w:t>33.97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8,930,263.01</w:t>
            </w:r>
          </w:p>
        </w:tc>
        <w:tc>
          <w:tcPr>
            <w:tcW w:w="2431" w:type="dxa"/>
            <w:shd w:val="clear" w:color="auto" w:fill="auto"/>
            <w:vAlign w:val="center"/>
          </w:tcPr>
          <w:p>
            <w:pPr>
              <w:ind w:hanging="1"/>
              <w:jc w:val="right"/>
            </w:pPr>
            <w:r>
              <w:rPr>
                <w:b w:val="0"/>
                <w:i w:val="0"/>
                <w:strike w:val="0"/>
                <w:u w:val="none"/>
              </w:rPr>
              <w:t>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PR金霞债</w:t>
            </w:r>
          </w:p>
        </w:tc>
        <w:tc>
          <w:tcPr>
            <w:tcW w:w="2693" w:type="dxa"/>
            <w:shd w:val="clear" w:color="auto" w:fill="auto"/>
            <w:vAlign w:val="center"/>
          </w:tcPr>
          <w:p>
            <w:pPr>
              <w:ind w:hanging="1"/>
              <w:jc w:val="right"/>
            </w:pPr>
            <w:r>
              <w:rPr>
                <w:b w:val="0"/>
                <w:i w:val="0"/>
                <w:strike w:val="0"/>
                <w:u w:val="none"/>
              </w:rPr>
              <w:t>8,540,493.15</w:t>
            </w:r>
          </w:p>
        </w:tc>
        <w:tc>
          <w:tcPr>
            <w:tcW w:w="2431" w:type="dxa"/>
            <w:shd w:val="clear" w:color="auto" w:fill="auto"/>
            <w:vAlign w:val="center"/>
          </w:tcPr>
          <w:p>
            <w:pPr>
              <w:ind w:hanging="1"/>
              <w:jc w:val="right"/>
            </w:pPr>
            <w:r>
              <w:rPr>
                <w:b w:val="0"/>
                <w:i w:val="0"/>
                <w:strike w:val="0"/>
                <w:u w:val="none"/>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23永城02</w:t>
            </w:r>
          </w:p>
        </w:tc>
        <w:tc>
          <w:tcPr>
            <w:tcW w:w="2693" w:type="dxa"/>
            <w:shd w:val="clear" w:color="auto" w:fill="auto"/>
            <w:vAlign w:val="center"/>
          </w:tcPr>
          <w:p>
            <w:pPr>
              <w:ind w:hanging="1"/>
              <w:jc w:val="right"/>
            </w:pPr>
            <w:r>
              <w:rPr>
                <w:b w:val="0"/>
                <w:i w:val="0"/>
                <w:strike w:val="0"/>
                <w:u w:val="none"/>
              </w:rPr>
              <w:t>8,349,930.96</w:t>
            </w:r>
          </w:p>
        </w:tc>
        <w:tc>
          <w:tcPr>
            <w:tcW w:w="2431" w:type="dxa"/>
            <w:shd w:val="clear" w:color="auto" w:fill="auto"/>
            <w:vAlign w:val="center"/>
          </w:tcPr>
          <w:p>
            <w:pPr>
              <w:ind w:hanging="1"/>
              <w:jc w:val="right"/>
            </w:pPr>
            <w:r>
              <w:rPr>
                <w:b w:val="0"/>
                <w:i w:val="0"/>
                <w:strike w:val="0"/>
                <w:u w:val="none"/>
              </w:rPr>
              <w:t>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21株城02</w:t>
            </w:r>
          </w:p>
        </w:tc>
        <w:tc>
          <w:tcPr>
            <w:tcW w:w="2693" w:type="dxa"/>
            <w:shd w:val="clear" w:color="auto" w:fill="auto"/>
            <w:vAlign w:val="center"/>
          </w:tcPr>
          <w:p>
            <w:pPr>
              <w:ind w:hanging="1"/>
              <w:jc w:val="right"/>
            </w:pPr>
            <w:r>
              <w:rPr>
                <w:b w:val="0"/>
                <w:i w:val="0"/>
                <w:strike w:val="0"/>
                <w:u w:val="none"/>
              </w:rPr>
              <w:t>7,287,268.49</w:t>
            </w:r>
          </w:p>
        </w:tc>
        <w:tc>
          <w:tcPr>
            <w:tcW w:w="2431" w:type="dxa"/>
            <w:shd w:val="clear" w:color="auto" w:fill="auto"/>
            <w:vAlign w:val="center"/>
          </w:tcPr>
          <w:p>
            <w:pPr>
              <w:ind w:hanging="1"/>
              <w:jc w:val="right"/>
            </w:pPr>
            <w:r>
              <w:rPr>
                <w:b w:val="0"/>
                <w:i w:val="0"/>
                <w:strike w:val="0"/>
                <w:u w:val="none"/>
              </w:rPr>
              <w:t>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25进出清发01</w:t>
            </w:r>
          </w:p>
        </w:tc>
        <w:tc>
          <w:tcPr>
            <w:tcW w:w="2693" w:type="dxa"/>
            <w:shd w:val="clear" w:color="auto" w:fill="auto"/>
            <w:vAlign w:val="center"/>
          </w:tcPr>
          <w:p>
            <w:pPr>
              <w:ind w:hanging="1"/>
              <w:jc w:val="right"/>
            </w:pPr>
            <w:r>
              <w:rPr>
                <w:b w:val="0"/>
                <w:i w:val="0"/>
                <w:strike w:val="0"/>
                <w:u w:val="none"/>
              </w:rPr>
              <w:t>7,145,187.12</w:t>
            </w:r>
          </w:p>
        </w:tc>
        <w:tc>
          <w:tcPr>
            <w:tcW w:w="2431" w:type="dxa"/>
            <w:shd w:val="clear" w:color="auto" w:fill="auto"/>
            <w:vAlign w:val="center"/>
          </w:tcPr>
          <w:p>
            <w:pPr>
              <w:ind w:hanging="1"/>
              <w:jc w:val="right"/>
            </w:pPr>
            <w:r>
              <w:rPr>
                <w:b w:val="0"/>
                <w:i w:val="0"/>
                <w:strike w:val="0"/>
                <w:u w:val="none"/>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19森特01</w:t>
            </w:r>
          </w:p>
        </w:tc>
        <w:tc>
          <w:tcPr>
            <w:tcW w:w="2693" w:type="dxa"/>
            <w:shd w:val="clear" w:color="auto" w:fill="auto"/>
            <w:vAlign w:val="center"/>
          </w:tcPr>
          <w:p>
            <w:pPr>
              <w:ind w:hanging="1"/>
              <w:jc w:val="right"/>
            </w:pPr>
            <w:r>
              <w:rPr>
                <w:b w:val="0"/>
                <w:i w:val="0"/>
                <w:strike w:val="0"/>
                <w:u w:val="none"/>
              </w:rPr>
              <w:t>6,908,200.00</w:t>
            </w:r>
          </w:p>
        </w:tc>
        <w:tc>
          <w:tcPr>
            <w:tcW w:w="2431" w:type="dxa"/>
            <w:shd w:val="clear" w:color="auto" w:fill="auto"/>
            <w:vAlign w:val="center"/>
          </w:tcPr>
          <w:p>
            <w:pPr>
              <w:ind w:hanging="1"/>
              <w:jc w:val="right"/>
            </w:pPr>
            <w:r>
              <w:rPr>
                <w:b w:val="0"/>
                <w:i w:val="0"/>
                <w:strike w:val="0"/>
                <w:u w:val="none"/>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23株发02</w:t>
            </w:r>
          </w:p>
        </w:tc>
        <w:tc>
          <w:tcPr>
            <w:tcW w:w="2693" w:type="dxa"/>
            <w:shd w:val="clear" w:color="auto" w:fill="auto"/>
            <w:vAlign w:val="center"/>
          </w:tcPr>
          <w:p>
            <w:pPr>
              <w:ind w:hanging="1"/>
              <w:jc w:val="right"/>
            </w:pPr>
            <w:r>
              <w:rPr>
                <w:b w:val="0"/>
                <w:i w:val="0"/>
                <w:strike w:val="0"/>
                <w:u w:val="none"/>
              </w:rPr>
              <w:t>6,807,539.04</w:t>
            </w:r>
          </w:p>
        </w:tc>
        <w:tc>
          <w:tcPr>
            <w:tcW w:w="2431" w:type="dxa"/>
            <w:shd w:val="clear" w:color="auto" w:fill="auto"/>
            <w:vAlign w:val="center"/>
          </w:tcPr>
          <w:p>
            <w:pPr>
              <w:ind w:hanging="1"/>
              <w:jc w:val="right"/>
            </w:pPr>
            <w:r>
              <w:rPr>
                <w:b w:val="0"/>
                <w:i w:val="0"/>
                <w:strike w:val="0"/>
                <w:u w:val="none"/>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23潇湘01</w:t>
            </w:r>
          </w:p>
        </w:tc>
        <w:tc>
          <w:tcPr>
            <w:tcW w:w="2693" w:type="dxa"/>
            <w:shd w:val="clear" w:color="auto" w:fill="auto"/>
            <w:vAlign w:val="center"/>
          </w:tcPr>
          <w:p>
            <w:pPr>
              <w:ind w:hanging="1"/>
              <w:jc w:val="right"/>
            </w:pPr>
            <w:r>
              <w:rPr>
                <w:b w:val="0"/>
                <w:i w:val="0"/>
                <w:strike w:val="0"/>
                <w:u w:val="none"/>
              </w:rPr>
              <w:t>5,298,273.97</w:t>
            </w:r>
          </w:p>
        </w:tc>
        <w:tc>
          <w:tcPr>
            <w:tcW w:w="2431" w:type="dxa"/>
            <w:shd w:val="clear" w:color="auto" w:fill="auto"/>
            <w:vAlign w:val="center"/>
          </w:tcPr>
          <w:p>
            <w:pPr>
              <w:ind w:hanging="1"/>
              <w:jc w:val="right"/>
            </w:pPr>
            <w:r>
              <w:rPr>
                <w:b w:val="0"/>
                <w:i w:val="0"/>
                <w:strike w:val="0"/>
                <w:u w:val="none"/>
              </w:rP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21湘交水建MTN001(权益出资)</w:t>
            </w:r>
          </w:p>
        </w:tc>
        <w:tc>
          <w:tcPr>
            <w:tcW w:w="2693" w:type="dxa"/>
            <w:shd w:val="clear" w:color="auto" w:fill="auto"/>
            <w:vAlign w:val="center"/>
          </w:tcPr>
          <w:p>
            <w:pPr>
              <w:ind w:hanging="1"/>
              <w:jc w:val="right"/>
            </w:pPr>
            <w:r>
              <w:rPr>
                <w:b w:val="0"/>
                <w:i w:val="0"/>
                <w:strike w:val="0"/>
                <w:u w:val="none"/>
              </w:rPr>
              <w:t>5,099,198.63</w:t>
            </w:r>
          </w:p>
        </w:tc>
        <w:tc>
          <w:tcPr>
            <w:tcW w:w="2431" w:type="dxa"/>
            <w:shd w:val="clear" w:color="auto" w:fill="auto"/>
            <w:vAlign w:val="center"/>
          </w:tcPr>
          <w:p>
            <w:pPr>
              <w:ind w:hanging="1"/>
              <w:jc w:val="right"/>
            </w:pPr>
            <w:r>
              <w:rPr>
                <w:b w:val="0"/>
                <w:i w:val="0"/>
                <w:strike w:val="0"/>
                <w:u w:val="none"/>
              </w:rPr>
              <w:t>4.32</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902-湖南银行海尔消费金融20251106</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40,115,416.44</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33.97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8,930,263.01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7.56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PR金霞债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8,540,493.15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23永城02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8,349,930.96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7.07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21株城02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7,287,268.49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6.17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7,145,187.12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6.05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19森特01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6,908,200.00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5.85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23株发02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6,807,539.04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5.76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23潇湘01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5,298,273.97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4.49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21湘交水建MTN001(权益出资)</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5,099,198.63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4.32</w:t>
            </w:r>
          </w:p>
        </w:tc>
      </w:tr>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731903861410960</w:t>
            </w:r>
          </w:p>
        </w:tc>
        <w:tc>
          <w:tcPr>
            <w:tcW w:w="2693" w:type="dxa"/>
            <w:shd w:val="clear" w:color="auto" w:fill="auto"/>
            <w:vAlign w:val="center"/>
          </w:tcPr>
          <w:p>
            <w:pPr>
              <w:spacing w:before="100" w:beforeAutospacing="1" w:after="100" w:afterAutospacing="1"/>
            </w:pPr>
            <w:r>
              <w:t>湖南银行股份有限公司-融智理财添利系列-D90-2理财产品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tbl>
      <w:tblPr>
        <w:tblStyle w:val="17"/>
        <w:tblW w:w="10038"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75"/>
        <w:gridCol w:w="1129"/>
        <w:gridCol w:w="1175"/>
        <w:gridCol w:w="1046"/>
        <w:gridCol w:w="1422"/>
        <w:gridCol w:w="1477"/>
        <w:gridCol w:w="1350"/>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D6D6D6"/>
            <w:vAlign w:val="center"/>
          </w:tcPr>
          <w:p>
            <w:pPr>
              <w:spacing w:before="100" w:beforeAutospacing="1" w:after="100" w:afterAutospacing="1"/>
              <w:jc w:val="center"/>
              <w:rPr>
                <w:b/>
                <w:bCs/>
                <w:szCs w:val="22"/>
              </w:rPr>
            </w:pPr>
            <w:r>
              <w:rPr>
                <w:rFonts w:hint="eastAsia"/>
                <w:b/>
                <w:bCs/>
                <w:szCs w:val="22"/>
              </w:rPr>
              <w:t>序号</w:t>
            </w:r>
          </w:p>
        </w:tc>
        <w:tc>
          <w:tcPr>
            <w:tcW w:w="1275" w:type="dxa"/>
            <w:shd w:val="clear" w:color="auto" w:fill="D6D6D6"/>
            <w:vAlign w:val="center"/>
          </w:tcPr>
          <w:p>
            <w:pPr>
              <w:spacing w:before="100" w:beforeAutospacing="1" w:after="100" w:afterAutospacing="1"/>
              <w:jc w:val="center"/>
              <w:rPr>
                <w:b/>
                <w:bCs/>
                <w:szCs w:val="22"/>
              </w:rPr>
            </w:pPr>
            <w:r>
              <w:rPr>
                <w:rFonts w:hint="eastAsia"/>
                <w:b/>
                <w:bCs/>
                <w:szCs w:val="22"/>
              </w:rPr>
              <w:t>交易时间</w:t>
            </w:r>
          </w:p>
        </w:tc>
        <w:tc>
          <w:tcPr>
            <w:tcW w:w="1129" w:type="dxa"/>
            <w:shd w:val="clear" w:color="auto" w:fill="D6D6D6"/>
            <w:vAlign w:val="center"/>
          </w:tcPr>
          <w:p>
            <w:pPr>
              <w:spacing w:before="100" w:beforeAutospacing="1" w:after="100" w:afterAutospacing="1"/>
              <w:jc w:val="center"/>
              <w:rPr>
                <w:b/>
                <w:bCs/>
                <w:szCs w:val="22"/>
              </w:rPr>
            </w:pPr>
            <w:r>
              <w:rPr>
                <w:rFonts w:hint="eastAsia"/>
                <w:b/>
                <w:bCs/>
                <w:szCs w:val="22"/>
              </w:rPr>
              <w:t>投资标的</w:t>
            </w:r>
          </w:p>
        </w:tc>
        <w:tc>
          <w:tcPr>
            <w:tcW w:w="1175" w:type="dxa"/>
            <w:shd w:val="clear" w:color="auto" w:fill="D6D6D6"/>
            <w:vAlign w:val="center"/>
          </w:tcPr>
          <w:p>
            <w:pPr>
              <w:spacing w:before="100" w:beforeAutospacing="1" w:after="100" w:afterAutospacing="1"/>
              <w:jc w:val="center"/>
              <w:rPr>
                <w:b/>
                <w:bCs/>
                <w:szCs w:val="22"/>
              </w:rPr>
            </w:pPr>
            <w:r>
              <w:rPr>
                <w:rFonts w:hint="eastAsia"/>
                <w:b/>
                <w:bCs/>
                <w:szCs w:val="22"/>
              </w:rPr>
              <w:t>交易</w:t>
            </w:r>
            <w:r>
              <w:rPr>
                <w:rFonts w:hint="eastAsia"/>
                <w:b/>
                <w:bCs/>
                <w:szCs w:val="22"/>
                <w:lang w:val="en-US" w:eastAsia="zh-CN"/>
              </w:rPr>
              <w:t>面</w:t>
            </w:r>
            <w:r>
              <w:rPr>
                <w:rFonts w:hint="eastAsia"/>
                <w:b/>
                <w:bCs/>
                <w:szCs w:val="22"/>
              </w:rPr>
              <w:t>额（</w:t>
            </w:r>
            <w:r>
              <w:rPr>
                <w:rFonts w:hint="eastAsia"/>
                <w:b/>
                <w:bCs/>
                <w:szCs w:val="22"/>
                <w:lang w:val="en-US" w:eastAsia="zh-CN"/>
              </w:rPr>
              <w:t>万元</w:t>
            </w:r>
            <w:r>
              <w:rPr>
                <w:rFonts w:hint="eastAsia"/>
                <w:b/>
                <w:bCs/>
                <w:szCs w:val="22"/>
              </w:rPr>
              <w:t>）</w:t>
            </w:r>
          </w:p>
        </w:tc>
        <w:tc>
          <w:tcPr>
            <w:tcW w:w="1046" w:type="dxa"/>
            <w:shd w:val="clear" w:color="auto" w:fill="D6D6D6"/>
            <w:vAlign w:val="center"/>
          </w:tcPr>
          <w:p>
            <w:pPr>
              <w:spacing w:before="100" w:beforeAutospacing="1" w:after="100" w:afterAutospacing="1"/>
              <w:jc w:val="center"/>
              <w:rPr>
                <w:rFonts w:hint="eastAsia" w:eastAsia="宋体"/>
                <w:b/>
                <w:bCs/>
                <w:szCs w:val="22"/>
                <w:lang w:eastAsia="zh-CN"/>
              </w:rPr>
            </w:pPr>
            <w:r>
              <w:rPr>
                <w:rFonts w:hint="eastAsia"/>
                <w:b/>
                <w:bCs/>
                <w:szCs w:val="22"/>
              </w:rPr>
              <w:t>交易</w:t>
            </w:r>
            <w:r>
              <w:rPr>
                <w:rFonts w:hint="eastAsia"/>
                <w:b/>
                <w:bCs/>
                <w:szCs w:val="22"/>
                <w:lang w:val="en-US" w:eastAsia="zh-CN"/>
              </w:rPr>
              <w:t>价格</w:t>
            </w:r>
          </w:p>
        </w:tc>
        <w:tc>
          <w:tcPr>
            <w:tcW w:w="1422" w:type="dxa"/>
            <w:shd w:val="clear" w:color="auto" w:fill="D6D6D6"/>
            <w:vAlign w:val="center"/>
          </w:tcPr>
          <w:p>
            <w:pPr>
              <w:spacing w:before="100" w:beforeAutospacing="1" w:after="100" w:afterAutospacing="1"/>
              <w:jc w:val="center"/>
              <w:rPr>
                <w:b/>
                <w:bCs/>
                <w:szCs w:val="22"/>
              </w:rPr>
            </w:pPr>
            <w:r>
              <w:rPr>
                <w:rFonts w:hint="eastAsia"/>
                <w:b/>
                <w:bCs/>
                <w:szCs w:val="22"/>
              </w:rPr>
              <w:t>关联方</w:t>
            </w:r>
          </w:p>
        </w:tc>
        <w:tc>
          <w:tcPr>
            <w:tcW w:w="1477" w:type="dxa"/>
            <w:shd w:val="clear" w:color="auto" w:fill="D6D6D6"/>
            <w:vAlign w:val="center"/>
          </w:tcPr>
          <w:p>
            <w:pPr>
              <w:spacing w:before="100" w:beforeAutospacing="1" w:after="100" w:afterAutospacing="1"/>
              <w:jc w:val="center"/>
              <w:rPr>
                <w:b/>
                <w:bCs/>
                <w:szCs w:val="22"/>
              </w:rPr>
            </w:pPr>
            <w:r>
              <w:rPr>
                <w:rFonts w:hint="eastAsia"/>
                <w:b/>
                <w:bCs/>
                <w:szCs w:val="22"/>
              </w:rPr>
              <w:t>关联方类别</w:t>
            </w:r>
          </w:p>
        </w:tc>
        <w:tc>
          <w:tcPr>
            <w:tcW w:w="1350" w:type="dxa"/>
            <w:shd w:val="clear" w:color="auto" w:fill="D6D6D6"/>
            <w:vAlign w:val="center"/>
          </w:tcPr>
          <w:p>
            <w:pPr>
              <w:spacing w:before="100" w:beforeAutospacing="1" w:after="100" w:afterAutospacing="1"/>
              <w:jc w:val="center"/>
              <w:rPr>
                <w:b/>
                <w:bCs/>
                <w:szCs w:val="22"/>
              </w:rPr>
            </w:pPr>
            <w:r>
              <w:rPr>
                <w:rFonts w:hint="eastAsia"/>
                <w:b/>
                <w:bCs/>
                <w:szCs w:val="22"/>
              </w:rPr>
              <w:t>关联方交易类型</w:t>
            </w:r>
          </w:p>
        </w:tc>
        <w:tc>
          <w:tcPr>
            <w:tcW w:w="624" w:type="dxa"/>
            <w:shd w:val="clear" w:color="auto" w:fill="D6D6D6"/>
            <w:vAlign w:val="center"/>
          </w:tcPr>
          <w:p>
            <w:pPr>
              <w:spacing w:before="100" w:beforeAutospacing="1" w:after="100" w:afterAutospacing="1"/>
              <w:jc w:val="center"/>
              <w:rPr>
                <w:b/>
                <w:bCs/>
                <w:szCs w:val="22"/>
              </w:rPr>
            </w:pPr>
            <w:r>
              <w:rPr>
                <w:rFonts w:hint="eastAsia"/>
                <w:b/>
                <w:bCs/>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40"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color w:val="000000"/>
                <w:kern w:val="0"/>
                <w:sz w:val="20"/>
                <w:szCs w:val="20"/>
                <w:u w:val="none"/>
                <w:lang w:val="en-US" w:eastAsia="zh-CN" w:bidi="ar"/>
              </w:rPr>
              <w:t>1</w:t>
            </w:r>
          </w:p>
        </w:tc>
        <w:tc>
          <w:tcPr>
            <w:tcW w:w="1275"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cs="宋体"/>
                <w:i w:val="0"/>
                <w:iCs w:val="0"/>
                <w:color w:val="000000"/>
                <w:kern w:val="0"/>
                <w:sz w:val="20"/>
                <w:szCs w:val="20"/>
                <w:u w:val="none"/>
                <w:lang w:val="en-US" w:eastAsia="zh-CN" w:bidi="ar"/>
              </w:rPr>
              <w:t>10-20</w:t>
            </w:r>
          </w:p>
        </w:tc>
        <w:tc>
          <w:tcPr>
            <w:tcW w:w="1129"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逆回购</w:t>
            </w:r>
          </w:p>
        </w:tc>
        <w:tc>
          <w:tcPr>
            <w:tcW w:w="1175"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1600</w:t>
            </w:r>
          </w:p>
        </w:tc>
        <w:tc>
          <w:tcPr>
            <w:tcW w:w="1046"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1.42%</w:t>
            </w:r>
          </w:p>
        </w:tc>
        <w:tc>
          <w:tcPr>
            <w:tcW w:w="1422"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招商证券资产管理有限公司</w:t>
            </w:r>
          </w:p>
        </w:tc>
        <w:tc>
          <w:tcPr>
            <w:tcW w:w="1477"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托管机构的关联法人</w:t>
            </w:r>
          </w:p>
        </w:tc>
        <w:tc>
          <w:tcPr>
            <w:tcW w:w="1350"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与关联方产品户进行回购交易</w:t>
            </w:r>
          </w:p>
        </w:tc>
        <w:tc>
          <w:tcPr>
            <w:tcW w:w="624" w:type="dxa"/>
            <w:shd w:val="clear" w:color="auto" w:fill="auto"/>
            <w:vAlign w:val="center"/>
          </w:tcPr>
          <w:p>
            <w:pPr>
              <w:jc w:val="center"/>
              <w:rPr>
                <w:rFonts w:hint="eastAsia" w:eastAsia="宋体"/>
                <w:lang w:eastAsia="zh-CN"/>
              </w:rPr>
            </w:pPr>
          </w:p>
        </w:tc>
      </w:tr>
    </w:tbl>
    <w:p>
      <w:pPr>
        <w:pStyle w:val="35"/>
        <w:spacing w:before="156" w:after="468" w:afterLines="150"/>
        <w:rPr>
          <w:rFonts w:hint="eastAsia"/>
          <w:lang w:val="en-US"/>
        </w:rPr>
      </w:pPr>
    </w:p>
    <w:p>
      <w:pPr>
        <w:pStyle w:val="35"/>
        <w:spacing w:before="156" w:after="468" w:afterLines="150"/>
        <w:rPr>
          <w:rFonts w:hint="eastAsia"/>
          <w:b w:val="0"/>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pPr>
        <w:pStyle w:val="5"/>
        <w:rPr>
          <w:lang w:val="en-US"/>
        </w:rPr>
      </w:pPr>
      <w:bookmarkStart w:id="3" w:name="_GoBack"/>
      <w:bookmarkEnd w:id="3"/>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902-湖南银行海尔消费金融20251106</w:t>
            </w:r>
          </w:p>
        </w:tc>
        <w:tc>
          <w:tcPr>
            <w:tcW w:w="1336" w:type="dxa"/>
            <w:shd w:val="clear" w:color="auto" w:fill="auto"/>
            <w:vAlign w:val="center"/>
          </w:tcPr>
          <w:p>
            <w:pPr>
              <w:spacing w:before="100" w:beforeAutospacing="1" w:after="100" w:afterAutospacing="1"/>
            </w:pPr>
            <w:r>
              <w:t>海尔消费金融有限公司</w:t>
            </w:r>
          </w:p>
        </w:tc>
        <w:tc>
          <w:tcPr>
            <w:tcW w:w="1295" w:type="dxa"/>
            <w:shd w:val="clear" w:color="auto" w:fill="auto"/>
            <w:vAlign w:val="center"/>
          </w:tcPr>
          <w:p>
            <w:pPr>
              <w:spacing w:before="100" w:beforeAutospacing="1" w:after="100" w:afterAutospacing="1"/>
            </w:pPr>
            <w:r>
              <w:t>20</w:t>
            </w:r>
          </w:p>
        </w:tc>
        <w:tc>
          <w:tcPr>
            <w:tcW w:w="1514" w:type="dxa"/>
            <w:shd w:val="clear" w:color="auto" w:fill="auto"/>
            <w:vAlign w:val="center"/>
          </w:tcPr>
          <w:p>
            <w:pPr>
              <w:spacing w:before="100" w:beforeAutospacing="1" w:after="100" w:afterAutospacing="1"/>
            </w:pPr>
            <w:r>
              <w:t>正常</w:t>
            </w:r>
          </w:p>
        </w:tc>
        <w:tc>
          <w:tcPr>
            <w:tcW w:w="1527" w:type="dxa"/>
            <w:shd w:val="clear" w:color="auto" w:fill="auto"/>
            <w:vAlign w:val="center"/>
          </w:tcPr>
          <w:p>
            <w:pPr>
              <w:spacing w:before="100" w:beforeAutospacing="1" w:after="100" w:afterAutospacing="1"/>
            </w:pPr>
            <w:r>
              <w:t>2</w:t>
            </w:r>
          </w:p>
        </w:tc>
        <w:tc>
          <w:tcPr>
            <w:tcW w:w="1624" w:type="dxa"/>
            <w:shd w:val="clear" w:color="auto" w:fill="auto"/>
            <w:vAlign w:val="center"/>
          </w:tcPr>
          <w:p>
            <w:pPr>
              <w:spacing w:before="100" w:beforeAutospacing="1" w:after="100" w:afterAutospacing="1"/>
            </w:pPr>
            <w:r>
              <w:t>同业借款</w:t>
            </w: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0D73AC"/>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2</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2026-01-22T07:39:03Z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