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融智理财添利系列-D90-3理财产品</w:t>
      </w:r>
    </w:p>
    <w:bookmarkEnd w:id="0"/>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融智理财添利系列-D90-3理财产品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100,140,043.84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[1.5%-2.5%]/年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100.12%</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4"/>
            <w:bookmarkEnd w:id="1"/>
            <w:bookmarkStart w:id="2" w:name="OLE_LINK7"/>
            <w:bookmarkEnd w:id="2"/>
            <w:r>
              <w:t>20.86</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424,036.51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529,483.04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121,030,501.45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121,030,501.45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1.2086</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bookmarkStart w:id="3" w:name="OLE_LINK2" w:colFirst="2" w:colLast="5"/>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115,873,197.13</w:t>
            </w:r>
          </w:p>
        </w:tc>
        <w:tc>
          <w:tcPr>
            <w:tcW w:w="1749" w:type="dxa"/>
            <w:shd w:val="clear" w:color="auto" w:fill="auto"/>
            <w:vAlign w:val="center"/>
          </w:tcPr>
          <w:p>
            <w:pPr>
              <w:jc w:val="right"/>
            </w:pPr>
            <w:r>
              <w:t>95.63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115,873,197.13</w:t>
            </w:r>
          </w:p>
        </w:tc>
        <w:tc>
          <w:tcPr>
            <w:tcW w:w="1749" w:type="dxa"/>
            <w:shd w:val="clear" w:color="auto" w:fill="auto"/>
            <w:vAlign w:val="center"/>
          </w:tcPr>
          <w:p>
            <w:pPr>
              <w:jc w:val="right"/>
            </w:pPr>
            <w:r>
              <w:t>95.63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5,000,326.59</w:t>
            </w:r>
          </w:p>
        </w:tc>
        <w:tc>
          <w:tcPr>
            <w:tcW w:w="1749" w:type="dxa"/>
            <w:shd w:val="clear" w:color="auto" w:fill="auto"/>
            <w:vAlign w:val="center"/>
          </w:tcPr>
          <w:p>
            <w:pPr>
              <w:jc w:val="right"/>
            </w:pPr>
            <w:r>
              <w:t>4.13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297,718.34</w:t>
            </w:r>
          </w:p>
        </w:tc>
        <w:tc>
          <w:tcPr>
            <w:tcW w:w="1749" w:type="dxa"/>
            <w:shd w:val="clear" w:color="auto" w:fill="auto"/>
            <w:vAlign w:val="center"/>
          </w:tcPr>
          <w:p>
            <w:pPr>
              <w:jc w:val="right"/>
            </w:pPr>
            <w:r>
              <w:t>0.25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6.96</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121,171,249.02</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bookmarkEnd w:id="3"/>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5.90%；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23郴发01</w:t>
            </w:r>
          </w:p>
        </w:tc>
        <w:tc>
          <w:tcPr>
            <w:tcW w:w="2693" w:type="dxa"/>
            <w:shd w:val="clear" w:color="auto" w:fill="auto"/>
            <w:vAlign w:val="center"/>
          </w:tcPr>
          <w:p>
            <w:pPr>
              <w:jc w:val="right"/>
            </w:pPr>
            <w:r>
              <w:t>11,055,764.74</w:t>
            </w:r>
          </w:p>
        </w:tc>
        <w:tc>
          <w:tcPr>
            <w:tcW w:w="2431" w:type="dxa"/>
            <w:shd w:val="clear" w:color="auto" w:fill="auto"/>
            <w:vAlign w:val="center"/>
          </w:tcPr>
          <w:p>
            <w:pPr>
              <w:jc w:val="right"/>
            </w:pPr>
            <w: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21株城02</w:t>
            </w:r>
          </w:p>
        </w:tc>
        <w:tc>
          <w:tcPr>
            <w:tcW w:w="2693" w:type="dxa"/>
            <w:shd w:val="clear" w:color="auto" w:fill="auto"/>
            <w:vAlign w:val="center"/>
          </w:tcPr>
          <w:p>
            <w:pPr>
              <w:ind w:hanging="1"/>
              <w:jc w:val="right"/>
            </w:pPr>
            <w:r>
              <w:rPr>
                <w:b w:val="0"/>
                <w:i w:val="0"/>
                <w:strike w:val="0"/>
                <w:u w:val="none"/>
              </w:rPr>
              <w:t>11,035,006.58</w:t>
            </w:r>
          </w:p>
        </w:tc>
        <w:tc>
          <w:tcPr>
            <w:tcW w:w="2431" w:type="dxa"/>
            <w:shd w:val="clear" w:color="auto" w:fill="auto"/>
            <w:vAlign w:val="center"/>
          </w:tcPr>
          <w:p>
            <w:pPr>
              <w:ind w:hanging="1"/>
              <w:jc w:val="right"/>
            </w:pPr>
            <w:r>
              <w:rPr>
                <w:b w:val="0"/>
                <w:i w:val="0"/>
                <w:strike w:val="0"/>
                <w:u w:val="none"/>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21桂林银行二级01</w:t>
            </w:r>
          </w:p>
        </w:tc>
        <w:tc>
          <w:tcPr>
            <w:tcW w:w="2693" w:type="dxa"/>
            <w:shd w:val="clear" w:color="auto" w:fill="auto"/>
            <w:vAlign w:val="center"/>
          </w:tcPr>
          <w:p>
            <w:pPr>
              <w:ind w:hanging="1"/>
              <w:jc w:val="right"/>
            </w:pPr>
            <w:r>
              <w:rPr>
                <w:b w:val="0"/>
                <w:i w:val="0"/>
                <w:strike w:val="0"/>
                <w:u w:val="none"/>
              </w:rPr>
              <w:t>11,024,304.93</w:t>
            </w:r>
          </w:p>
        </w:tc>
        <w:tc>
          <w:tcPr>
            <w:tcW w:w="2431" w:type="dxa"/>
            <w:shd w:val="clear" w:color="auto" w:fill="auto"/>
            <w:vAlign w:val="center"/>
          </w:tcPr>
          <w:p>
            <w:pPr>
              <w:ind w:hanging="1"/>
              <w:jc w:val="right"/>
            </w:pPr>
            <w:r>
              <w:rPr>
                <w:b w:val="0"/>
                <w:i w:val="0"/>
                <w:strike w:val="0"/>
                <w:u w:val="none"/>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PR轩达01</w:t>
            </w:r>
          </w:p>
        </w:tc>
        <w:tc>
          <w:tcPr>
            <w:tcW w:w="2693" w:type="dxa"/>
            <w:shd w:val="clear" w:color="auto" w:fill="auto"/>
            <w:vAlign w:val="center"/>
          </w:tcPr>
          <w:p>
            <w:pPr>
              <w:ind w:hanging="1"/>
              <w:jc w:val="right"/>
            </w:pPr>
            <w:r>
              <w:rPr>
                <w:b w:val="0"/>
                <w:i w:val="0"/>
                <w:strike w:val="0"/>
                <w:u w:val="none"/>
              </w:rPr>
              <w:t>10,949,490.41</w:t>
            </w:r>
          </w:p>
        </w:tc>
        <w:tc>
          <w:tcPr>
            <w:tcW w:w="2431" w:type="dxa"/>
            <w:shd w:val="clear" w:color="auto" w:fill="auto"/>
            <w:vAlign w:val="center"/>
          </w:tcPr>
          <w:p>
            <w:pPr>
              <w:ind w:hanging="1"/>
              <w:jc w:val="right"/>
            </w:pPr>
            <w:r>
              <w:rPr>
                <w:b w:val="0"/>
                <w:i w:val="0"/>
                <w:strike w:val="0"/>
                <w:u w:val="none"/>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10,808,478.90</w:t>
            </w:r>
          </w:p>
        </w:tc>
        <w:tc>
          <w:tcPr>
            <w:tcW w:w="2431" w:type="dxa"/>
            <w:shd w:val="clear" w:color="auto" w:fill="auto"/>
            <w:vAlign w:val="center"/>
          </w:tcPr>
          <w:p>
            <w:pPr>
              <w:ind w:hanging="1"/>
              <w:jc w:val="right"/>
            </w:pPr>
            <w:r>
              <w:rPr>
                <w:b w:val="0"/>
                <w:i w:val="0"/>
                <w:strike w:val="0"/>
                <w:u w:val="none"/>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23永城02</w:t>
            </w:r>
          </w:p>
        </w:tc>
        <w:tc>
          <w:tcPr>
            <w:tcW w:w="2693" w:type="dxa"/>
            <w:shd w:val="clear" w:color="auto" w:fill="auto"/>
            <w:vAlign w:val="center"/>
          </w:tcPr>
          <w:p>
            <w:pPr>
              <w:ind w:hanging="1"/>
              <w:jc w:val="right"/>
            </w:pPr>
            <w:r>
              <w:rPr>
                <w:b w:val="0"/>
                <w:i w:val="0"/>
                <w:strike w:val="0"/>
                <w:u w:val="none"/>
              </w:rPr>
              <w:t>9,811,168.88</w:t>
            </w:r>
          </w:p>
        </w:tc>
        <w:tc>
          <w:tcPr>
            <w:tcW w:w="2431" w:type="dxa"/>
            <w:shd w:val="clear" w:color="auto" w:fill="auto"/>
            <w:vAlign w:val="center"/>
          </w:tcPr>
          <w:p>
            <w:pPr>
              <w:ind w:hanging="1"/>
              <w:jc w:val="right"/>
            </w:pPr>
            <w:r>
              <w:rPr>
                <w:b w:val="0"/>
                <w:i w:val="0"/>
                <w:strike w:val="0"/>
                <w:u w:val="none"/>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8,752,869.18</w:t>
            </w:r>
          </w:p>
        </w:tc>
        <w:tc>
          <w:tcPr>
            <w:tcW w:w="2431" w:type="dxa"/>
            <w:shd w:val="clear" w:color="auto" w:fill="auto"/>
            <w:vAlign w:val="center"/>
          </w:tcPr>
          <w:p>
            <w:pPr>
              <w:ind w:hanging="1"/>
              <w:jc w:val="right"/>
            </w:pPr>
            <w:r>
              <w:rPr>
                <w:b w:val="0"/>
                <w:i w:val="0"/>
                <w:strike w:val="0"/>
                <w:u w:val="none"/>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23迈瑞02</w:t>
            </w:r>
          </w:p>
        </w:tc>
        <w:tc>
          <w:tcPr>
            <w:tcW w:w="2693" w:type="dxa"/>
            <w:shd w:val="clear" w:color="auto" w:fill="auto"/>
            <w:vAlign w:val="center"/>
          </w:tcPr>
          <w:p>
            <w:pPr>
              <w:ind w:hanging="1"/>
              <w:jc w:val="right"/>
            </w:pPr>
            <w:r>
              <w:rPr>
                <w:b w:val="0"/>
                <w:i w:val="0"/>
                <w:strike w:val="0"/>
                <w:u w:val="none"/>
              </w:rPr>
              <w:t>8,498,187.95</w:t>
            </w:r>
          </w:p>
        </w:tc>
        <w:tc>
          <w:tcPr>
            <w:tcW w:w="2431" w:type="dxa"/>
            <w:shd w:val="clear" w:color="auto" w:fill="auto"/>
            <w:vAlign w:val="center"/>
          </w:tcPr>
          <w:p>
            <w:pPr>
              <w:ind w:hanging="1"/>
              <w:jc w:val="right"/>
            </w:pPr>
            <w:r>
              <w:rPr>
                <w:b w:val="0"/>
                <w:i w:val="0"/>
                <w:strike w:val="0"/>
                <w:u w:val="none"/>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20攸州国投01</w:t>
            </w:r>
          </w:p>
        </w:tc>
        <w:tc>
          <w:tcPr>
            <w:tcW w:w="2693" w:type="dxa"/>
            <w:shd w:val="clear" w:color="auto" w:fill="auto"/>
            <w:vAlign w:val="center"/>
          </w:tcPr>
          <w:p>
            <w:pPr>
              <w:ind w:hanging="1"/>
              <w:jc w:val="right"/>
            </w:pPr>
            <w:r>
              <w:rPr>
                <w:b w:val="0"/>
                <w:i w:val="0"/>
                <w:strike w:val="0"/>
                <w:u w:val="none"/>
              </w:rPr>
              <w:t>7,532,775.26</w:t>
            </w:r>
          </w:p>
        </w:tc>
        <w:tc>
          <w:tcPr>
            <w:tcW w:w="2431" w:type="dxa"/>
            <w:shd w:val="clear" w:color="auto" w:fill="auto"/>
            <w:vAlign w:val="center"/>
          </w:tcPr>
          <w:p>
            <w:pPr>
              <w:ind w:hanging="1"/>
              <w:jc w:val="right"/>
            </w:pPr>
            <w:r>
              <w:rPr>
                <w:b w:val="0"/>
                <w:i w:val="0"/>
                <w:strike w:val="0"/>
                <w:u w:val="none"/>
              </w:rPr>
              <w:t>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G20德源1</w:t>
            </w:r>
          </w:p>
        </w:tc>
        <w:tc>
          <w:tcPr>
            <w:tcW w:w="2693" w:type="dxa"/>
            <w:shd w:val="clear" w:color="auto" w:fill="auto"/>
            <w:vAlign w:val="center"/>
          </w:tcPr>
          <w:p>
            <w:pPr>
              <w:ind w:hanging="1"/>
              <w:jc w:val="right"/>
            </w:pPr>
            <w:r>
              <w:rPr>
                <w:b w:val="0"/>
                <w:i w:val="0"/>
                <w:strike w:val="0"/>
                <w:u w:val="none"/>
              </w:rPr>
              <w:t>5,039,278.90</w:t>
            </w:r>
          </w:p>
        </w:tc>
        <w:tc>
          <w:tcPr>
            <w:tcW w:w="2431" w:type="dxa"/>
            <w:shd w:val="clear" w:color="auto" w:fill="auto"/>
            <w:vAlign w:val="center"/>
          </w:tcPr>
          <w:p>
            <w:pPr>
              <w:ind w:hanging="1"/>
              <w:jc w:val="right"/>
            </w:pPr>
            <w:r>
              <w:rPr>
                <w:b w:val="0"/>
                <w:i w:val="0"/>
                <w:strike w:val="0"/>
                <w:u w:val="none"/>
              </w:rPr>
              <w:t>4.16</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4"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23郴发01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11,055,764.74</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11,035,006.58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21桂林银行二级01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11,024,304.93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PR轩达01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10,949,490.41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10,808,478.90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23永城02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9,811,168.88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8,752,869.18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23迈瑞02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8,498,187.95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7.02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20攸州国投01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7,532,775.26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G20德源1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5,039,278.90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4.16</w:t>
            </w:r>
          </w:p>
        </w:tc>
      </w:tr>
      <w:bookmarkEnd w:id="4"/>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731903861410601</w:t>
            </w:r>
          </w:p>
        </w:tc>
        <w:tc>
          <w:tcPr>
            <w:tcW w:w="2693" w:type="dxa"/>
            <w:shd w:val="clear" w:color="auto" w:fill="auto"/>
            <w:vAlign w:val="center"/>
          </w:tcPr>
          <w:p>
            <w:pPr>
              <w:spacing w:before="100" w:beforeAutospacing="1" w:after="100" w:afterAutospacing="1"/>
            </w:pPr>
            <w:r>
              <w:t>湖南银行股份有限公司-融智理财添利系列-D90-3理财产品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0E7D3C69"/>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8</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2026-01-22T07:46:27Z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