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2016年“融智理财·天天添利净值型”人民币理财产品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bookmarkStart w:id="0" w:name="OLE_LINK1"/>
            <w:r>
              <w:rPr>
                <w:rFonts w:hint="eastAsia" w:ascii="宋体" w:hAnsi="宋体"/>
              </w:rPr>
              <w:t>2016年“融智理财·天天添利净值型”人民币理财产品</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C1136016000054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w:t>
            </w:r>
            <w:r>
              <w:rPr>
                <w:rFonts w:hint="eastAsia" w:ascii="宋体" w:hAnsi="宋体"/>
                <w:lang w:val="en-US" w:eastAsia="zh-CN"/>
              </w:rPr>
              <w:t>1</w:t>
            </w:r>
            <w:r>
              <w:rPr>
                <w:rFonts w:ascii="宋体" w:hAnsi="宋体"/>
              </w:rPr>
              <w:t>-</w:t>
            </w:r>
            <w:r>
              <w:rPr>
                <w:rFonts w:hint="eastAsia" w:ascii="宋体" w:hAnsi="宋体"/>
                <w:lang w:val="en-US" w:eastAsia="zh-CN"/>
              </w:rPr>
              <w:t>11</w:t>
            </w:r>
            <w:r>
              <w:rPr>
                <w:rFonts w:ascii="宋体" w:hAnsi="宋体"/>
              </w:rPr>
              <w:t>-</w:t>
            </w:r>
            <w:r>
              <w:rPr>
                <w:rFonts w:hint="eastAsia" w:ascii="宋体" w:hAnsi="宋体"/>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3,218,734,888.48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hint="eastAsia" w:ascii="宋体" w:hAnsi="宋体"/>
                <w:highlight w:val="none"/>
              </w:rPr>
              <w:t>人民银行七天通知存款利率+50BP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市价及摊余成本法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100.10%</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净值收益率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0.35</w:t>
            </w:r>
          </w:p>
        </w:tc>
      </w:tr>
    </w:tbl>
    <w:p>
      <w:pPr>
        <w:spacing w:line="360" w:lineRule="auto"/>
        <w:ind w:left="420" w:leftChars="200"/>
        <w:jc w:val="left"/>
        <w:rPr>
          <w:rFonts w:ascii="宋体" w:hAnsi="宋体"/>
          <w:sz w:val="24"/>
        </w:rPr>
      </w:pPr>
    </w:p>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1"/>
        <w:gridCol w:w="4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561" w:type="dxa"/>
            <w:shd w:val="clear" w:color="auto" w:fill="D9D9D9"/>
            <w:vAlign w:val="center"/>
          </w:tcPr>
          <w:p>
            <w:pPr>
              <w:jc w:val="left"/>
              <w:rPr>
                <w:rFonts w:ascii="宋体" w:hAnsi="宋体"/>
                <w:b/>
              </w:rPr>
            </w:pPr>
            <w:r>
              <w:rPr>
                <w:rFonts w:hint="eastAsia"/>
                <w:b/>
                <w:bCs/>
              </w:rPr>
              <w:t>项目</w:t>
            </w:r>
          </w:p>
        </w:tc>
        <w:tc>
          <w:tcPr>
            <w:tcW w:w="4304"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61" w:type="dxa"/>
            <w:vAlign w:val="center"/>
          </w:tcPr>
          <w:p>
            <w:pPr>
              <w:rPr>
                <w:rFonts w:ascii="宋体" w:hAnsi="宋体"/>
              </w:rPr>
            </w:pPr>
            <w:r>
              <w:rPr>
                <w:rFonts w:hint="eastAsia" w:ascii="宋体" w:hAnsi="宋体"/>
                <w:szCs w:val="21"/>
              </w:rPr>
              <w:t>本期已实现收益</w:t>
            </w:r>
          </w:p>
        </w:tc>
        <w:tc>
          <w:tcPr>
            <w:tcW w:w="4304" w:type="dxa"/>
            <w:vAlign w:val="center"/>
          </w:tcPr>
          <w:p>
            <w:pPr>
              <w:jc w:val="right"/>
            </w:pPr>
            <w:r>
              <w:t>11,043,389.26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61"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4304" w:type="dxa"/>
            <w:shd w:val="clear" w:color="auto" w:fill="auto"/>
            <w:vAlign w:val="center"/>
          </w:tcPr>
          <w:p>
            <w:pPr>
              <w:ind w:hanging="1"/>
              <w:jc w:val="right"/>
            </w:pPr>
            <w:r>
              <w:rPr>
                <w:b w:val="0"/>
                <w:i w:val="0"/>
                <w:strike w:val="0"/>
                <w:u w:val="none"/>
              </w:rPr>
              <w:t>11,043,389.26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61"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4304" w:type="dxa"/>
            <w:shd w:val="clear" w:color="auto" w:fill="auto"/>
            <w:vAlign w:val="center"/>
          </w:tcPr>
          <w:p>
            <w:pPr>
              <w:ind w:hanging="1"/>
              <w:jc w:val="right"/>
            </w:pPr>
            <w:r>
              <w:rPr>
                <w:b w:val="0"/>
                <w:i w:val="0"/>
                <w:strike w:val="0"/>
                <w:u w:val="none"/>
              </w:rPr>
              <w:t>3,218,734,888.48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61" w:type="dxa"/>
            <w:shd w:val="clear" w:color="auto" w:fill="auto"/>
            <w:vAlign w:val="center"/>
          </w:tcPr>
          <w:p>
            <w:pPr>
              <w:ind w:hanging="1"/>
              <w:jc w:val="left"/>
              <w:rPr>
                <w:rFonts w:ascii="宋体" w:hAnsi="宋体"/>
              </w:rPr>
            </w:pPr>
            <w:r>
              <w:rPr>
                <w:rFonts w:hint="eastAsia" w:ascii="宋体" w:hAnsi="宋体"/>
                <w:b w:val="0"/>
                <w:i w:val="0"/>
                <w:strike w:val="0"/>
                <w:u w:val="none"/>
              </w:rPr>
              <w:t>期末产品万份收益</w:t>
            </w:r>
          </w:p>
        </w:tc>
        <w:tc>
          <w:tcPr>
            <w:tcW w:w="4304" w:type="dxa"/>
            <w:shd w:val="clear" w:color="auto" w:fill="auto"/>
            <w:vAlign w:val="center"/>
          </w:tcPr>
          <w:p>
            <w:pPr>
              <w:ind w:hanging="1"/>
              <w:jc w:val="right"/>
            </w:pPr>
            <w:r>
              <w:rPr>
                <w:b w:val="0"/>
                <w:i w:val="0"/>
                <w:strike w:val="0"/>
                <w:u w:val="none"/>
              </w:rPr>
              <w:t>0.3611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61" w:type="dxa"/>
            <w:shd w:val="clear" w:color="auto" w:fill="auto"/>
            <w:vAlign w:val="center"/>
          </w:tcPr>
          <w:p>
            <w:pPr>
              <w:ind w:hanging="1"/>
              <w:jc w:val="left"/>
              <w:rPr>
                <w:rFonts w:ascii="宋体" w:hAnsi="宋体"/>
              </w:rPr>
            </w:pPr>
            <w:r>
              <w:rPr>
                <w:rFonts w:hint="eastAsia" w:ascii="宋体" w:hAnsi="宋体"/>
                <w:b w:val="0"/>
                <w:i w:val="0"/>
                <w:strike w:val="0"/>
                <w:u w:val="none"/>
              </w:rPr>
              <w:t>期末产品七日年化收益率</w:t>
            </w:r>
          </w:p>
        </w:tc>
        <w:tc>
          <w:tcPr>
            <w:tcW w:w="4304" w:type="dxa"/>
            <w:shd w:val="clear" w:color="auto" w:fill="auto"/>
            <w:vAlign w:val="center"/>
          </w:tcPr>
          <w:p>
            <w:pPr>
              <w:ind w:hanging="1"/>
              <w:jc w:val="right"/>
            </w:pPr>
            <w:r>
              <w:rPr>
                <w:b w:val="0"/>
                <w:i w:val="0"/>
                <w:strike w:val="0"/>
                <w:u w:val="none"/>
              </w:rPr>
              <w:t>1.4239%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61"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4304" w:type="dxa"/>
            <w:vAlign w:val="center"/>
          </w:tcPr>
          <w:p>
            <w:pPr>
              <w:jc w:val="right"/>
              <w:rPr>
                <w:rFonts w:hint="eastAsia"/>
                <w:lang w:val="en-US" w:eastAsia="zh-CN"/>
              </w:rPr>
            </w:pPr>
            <w:r>
              <w:rPr>
                <w:rFonts w:hint="eastAsia"/>
              </w:rPr>
              <w:t>3,218,734,888.48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61" w:type="dxa"/>
            <w:vAlign w:val="center"/>
          </w:tcPr>
          <w:p>
            <w:pPr>
              <w:rPr>
                <w:rFonts w:hint="eastAsia" w:ascii="宋体" w:hAnsi="宋体" w:eastAsia="宋体" w:cs="Times New Roman"/>
                <w:b/>
                <w:bCs/>
                <w:kern w:val="2"/>
                <w:sz w:val="21"/>
                <w:lang w:val="en-US" w:eastAsia="zh-CN" w:bidi="ar-SA"/>
              </w:rPr>
            </w:pPr>
            <w:r>
              <w:rPr>
                <w:rFonts w:hint="eastAsia" w:ascii="宋体" w:hAnsi="宋体"/>
                <w:szCs w:val="21"/>
                <w:highlight w:val="none"/>
                <w:lang w:val="en-US" w:eastAsia="zh-CN"/>
              </w:rPr>
              <w:t>当期最后一个市场交易日产品万份收益</w:t>
            </w:r>
          </w:p>
        </w:tc>
        <w:tc>
          <w:tcPr>
            <w:tcW w:w="4304" w:type="dxa"/>
            <w:vAlign w:val="center"/>
          </w:tcPr>
          <w:p>
            <w:pPr>
              <w:ind w:hanging="1" w:firstLineChars="0"/>
              <w:jc w:val="right"/>
              <w:rPr>
                <w:rFonts w:hint="eastAsia"/>
                <w:lang w:val="en-US" w:eastAsia="zh-CN"/>
              </w:rPr>
            </w:pPr>
            <w:r>
              <w:rPr>
                <w:b w:val="0"/>
                <w:i w:val="0"/>
                <w:strike w:val="0"/>
                <w:u w:val="none"/>
              </w:rPr>
              <w:t>0.3611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561" w:type="dxa"/>
            <w:vAlign w:val="center"/>
          </w:tcPr>
          <w:p>
            <w:pPr>
              <w:rPr>
                <w:rFonts w:hint="eastAsia" w:ascii="宋体" w:hAnsi="宋体" w:eastAsia="宋体" w:cs="Times New Roman"/>
                <w:kern w:val="2"/>
                <w:sz w:val="21"/>
                <w:lang w:val="en-US" w:eastAsia="zh-CN" w:bidi="ar-SA"/>
              </w:rPr>
            </w:pPr>
            <w:r>
              <w:rPr>
                <w:rFonts w:hint="eastAsia" w:ascii="宋体" w:hAnsi="宋体"/>
                <w:szCs w:val="21"/>
                <w:highlight w:val="none"/>
                <w:lang w:val="en-US" w:eastAsia="zh-CN"/>
              </w:rPr>
              <w:t>当期最后一个市场交易日产品七日年化收益率</w:t>
            </w:r>
          </w:p>
        </w:tc>
        <w:tc>
          <w:tcPr>
            <w:tcW w:w="4304" w:type="dxa"/>
            <w:vAlign w:val="center"/>
          </w:tcPr>
          <w:p>
            <w:pPr>
              <w:ind w:hanging="1" w:firstLineChars="0"/>
              <w:jc w:val="right"/>
              <w:rPr>
                <w:rFonts w:hint="eastAsia"/>
                <w:lang w:val="en-US" w:eastAsia="zh-CN"/>
              </w:rPr>
            </w:pPr>
            <w:r>
              <w:rPr>
                <w:b w:val="0"/>
                <w:i w:val="0"/>
                <w:strike w:val="0"/>
                <w:u w:val="none"/>
              </w:rPr>
              <w:t>1.4239%</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投资于高等级货币市场工具。主要精选高等级高流动性的银行同业存单，严格控制组合期限，合理安排资产到期分布，基于对资金市场和短期资产价格波动特征以及期限利差变化情况的研究，灵活选择配置资产期限，努力实现相对稳健的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bookmarkStart w:id="1" w:name="OLE_LINK2" w:colFirst="2" w:colLast="5"/>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2,926,234,871.98</w:t>
            </w:r>
          </w:p>
        </w:tc>
        <w:tc>
          <w:tcPr>
            <w:tcW w:w="1749" w:type="dxa"/>
            <w:shd w:val="clear" w:color="auto" w:fill="auto"/>
            <w:vAlign w:val="center"/>
          </w:tcPr>
          <w:p>
            <w:pPr>
              <w:jc w:val="right"/>
            </w:pPr>
            <w:r>
              <w:t>90.82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2,905,686,754.96</w:t>
            </w:r>
          </w:p>
        </w:tc>
        <w:tc>
          <w:tcPr>
            <w:tcW w:w="1749" w:type="dxa"/>
            <w:shd w:val="clear" w:color="auto" w:fill="auto"/>
            <w:vAlign w:val="center"/>
          </w:tcPr>
          <w:p>
            <w:pPr>
              <w:jc w:val="right"/>
            </w:pPr>
            <w:r>
              <w:t>90.18</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20,548,117.02</w:t>
            </w:r>
          </w:p>
        </w:tc>
        <w:tc>
          <w:tcPr>
            <w:tcW w:w="1749" w:type="dxa"/>
            <w:shd w:val="clear" w:color="auto" w:fill="auto"/>
            <w:vAlign w:val="center"/>
          </w:tcPr>
          <w:p>
            <w:pPr>
              <w:jc w:val="right"/>
            </w:pPr>
            <w:r>
              <w:t>0.64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290,042,185.66</w:t>
            </w:r>
          </w:p>
        </w:tc>
        <w:tc>
          <w:tcPr>
            <w:tcW w:w="1749" w:type="dxa"/>
            <w:shd w:val="clear" w:color="auto" w:fill="auto"/>
            <w:vAlign w:val="center"/>
          </w:tcPr>
          <w:p>
            <w:pPr>
              <w:jc w:val="right"/>
            </w:pPr>
            <w:r>
              <w:t>9.00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5,810,544.68</w:t>
            </w:r>
          </w:p>
        </w:tc>
        <w:tc>
          <w:tcPr>
            <w:tcW w:w="1749" w:type="dxa"/>
            <w:shd w:val="clear" w:color="auto" w:fill="auto"/>
            <w:vAlign w:val="center"/>
          </w:tcPr>
          <w:p>
            <w:pPr>
              <w:jc w:val="right"/>
            </w:pPr>
            <w:r>
              <w:t>0.18</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3,222,087,602.32</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bookmarkEnd w:id="1"/>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10.56%；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bookmarkStart w:id="2" w:name="OLE_LINK3" w:colFirst="1" w:colLast="3"/>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25吉林银行CD131</w:t>
            </w:r>
          </w:p>
        </w:tc>
        <w:tc>
          <w:tcPr>
            <w:tcW w:w="2693" w:type="dxa"/>
            <w:shd w:val="clear" w:color="auto" w:fill="auto"/>
            <w:vAlign w:val="center"/>
          </w:tcPr>
          <w:p>
            <w:pPr>
              <w:jc w:val="right"/>
            </w:pPr>
            <w:r>
              <w:t>199,648,119.40</w:t>
            </w:r>
          </w:p>
        </w:tc>
        <w:tc>
          <w:tcPr>
            <w:tcW w:w="2431" w:type="dxa"/>
            <w:shd w:val="clear" w:color="auto" w:fill="auto"/>
            <w:vAlign w:val="center"/>
          </w:tcPr>
          <w:p>
            <w:pPr>
              <w:jc w:val="right"/>
            </w:pPr>
            <w: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25东莞农村商业银行CD131</w:t>
            </w:r>
          </w:p>
        </w:tc>
        <w:tc>
          <w:tcPr>
            <w:tcW w:w="2693" w:type="dxa"/>
            <w:shd w:val="clear" w:color="auto" w:fill="auto"/>
            <w:vAlign w:val="center"/>
          </w:tcPr>
          <w:p>
            <w:pPr>
              <w:ind w:hanging="1"/>
              <w:jc w:val="right"/>
            </w:pPr>
            <w:r>
              <w:rPr>
                <w:b w:val="0"/>
                <w:i w:val="0"/>
                <w:strike w:val="0"/>
                <w:u w:val="none"/>
              </w:rPr>
              <w:t>199,463,671.30</w:t>
            </w:r>
          </w:p>
        </w:tc>
        <w:tc>
          <w:tcPr>
            <w:tcW w:w="2431" w:type="dxa"/>
            <w:shd w:val="clear" w:color="auto" w:fill="auto"/>
            <w:vAlign w:val="center"/>
          </w:tcPr>
          <w:p>
            <w:pPr>
              <w:ind w:hanging="1"/>
              <w:jc w:val="right"/>
            </w:pPr>
            <w:r>
              <w:rPr>
                <w:b w:val="0"/>
                <w:i w:val="0"/>
                <w:strike w:val="0"/>
                <w:u w:val="none"/>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25长沙银行CD282</w:t>
            </w:r>
          </w:p>
        </w:tc>
        <w:tc>
          <w:tcPr>
            <w:tcW w:w="2693" w:type="dxa"/>
            <w:shd w:val="clear" w:color="auto" w:fill="auto"/>
            <w:vAlign w:val="center"/>
          </w:tcPr>
          <w:p>
            <w:pPr>
              <w:ind w:hanging="1"/>
              <w:jc w:val="right"/>
            </w:pPr>
            <w:r>
              <w:rPr>
                <w:b w:val="0"/>
                <w:i w:val="0"/>
                <w:strike w:val="0"/>
                <w:u w:val="none"/>
              </w:rPr>
              <w:t>199,444,429.12</w:t>
            </w:r>
          </w:p>
        </w:tc>
        <w:tc>
          <w:tcPr>
            <w:tcW w:w="2431" w:type="dxa"/>
            <w:shd w:val="clear" w:color="auto" w:fill="auto"/>
            <w:vAlign w:val="center"/>
          </w:tcPr>
          <w:p>
            <w:pPr>
              <w:ind w:hanging="1"/>
              <w:jc w:val="right"/>
            </w:pPr>
            <w:r>
              <w:rPr>
                <w:b w:val="0"/>
                <w:i w:val="0"/>
                <w:strike w:val="0"/>
                <w:u w:val="none"/>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25宁波银行CD274</w:t>
            </w:r>
          </w:p>
        </w:tc>
        <w:tc>
          <w:tcPr>
            <w:tcW w:w="2693" w:type="dxa"/>
            <w:shd w:val="clear" w:color="auto" w:fill="auto"/>
            <w:vAlign w:val="center"/>
          </w:tcPr>
          <w:p>
            <w:pPr>
              <w:ind w:hanging="1"/>
              <w:jc w:val="right"/>
            </w:pPr>
            <w:r>
              <w:rPr>
                <w:b w:val="0"/>
                <w:i w:val="0"/>
                <w:strike w:val="0"/>
                <w:u w:val="none"/>
              </w:rPr>
              <w:t>199,394,805.79</w:t>
            </w:r>
          </w:p>
        </w:tc>
        <w:tc>
          <w:tcPr>
            <w:tcW w:w="2431" w:type="dxa"/>
            <w:shd w:val="clear" w:color="auto" w:fill="auto"/>
            <w:vAlign w:val="center"/>
          </w:tcPr>
          <w:p>
            <w:pPr>
              <w:ind w:hanging="1"/>
              <w:jc w:val="right"/>
            </w:pPr>
            <w:r>
              <w:rPr>
                <w:b w:val="0"/>
                <w:i w:val="0"/>
                <w:strike w:val="0"/>
                <w:u w:val="none"/>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R005</w:t>
            </w:r>
          </w:p>
        </w:tc>
        <w:tc>
          <w:tcPr>
            <w:tcW w:w="2693" w:type="dxa"/>
            <w:shd w:val="clear" w:color="auto" w:fill="auto"/>
            <w:vAlign w:val="center"/>
          </w:tcPr>
          <w:p>
            <w:pPr>
              <w:ind w:hanging="1"/>
              <w:jc w:val="right"/>
            </w:pPr>
            <w:r>
              <w:rPr>
                <w:b w:val="0"/>
                <w:i w:val="0"/>
                <w:strike w:val="0"/>
                <w:u w:val="none"/>
              </w:rPr>
              <w:t>190,012,456.60</w:t>
            </w:r>
          </w:p>
        </w:tc>
        <w:tc>
          <w:tcPr>
            <w:tcW w:w="2431" w:type="dxa"/>
            <w:shd w:val="clear" w:color="auto" w:fill="auto"/>
            <w:vAlign w:val="center"/>
          </w:tcPr>
          <w:p>
            <w:pPr>
              <w:ind w:hanging="1"/>
              <w:jc w:val="right"/>
            </w:pPr>
            <w:r>
              <w:rPr>
                <w:b w:val="0"/>
                <w:i w:val="0"/>
                <w:strike w:val="0"/>
                <w:u w:val="none"/>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25甘肃银行CD111</w:t>
            </w:r>
          </w:p>
        </w:tc>
        <w:tc>
          <w:tcPr>
            <w:tcW w:w="2693" w:type="dxa"/>
            <w:shd w:val="clear" w:color="auto" w:fill="auto"/>
            <w:vAlign w:val="center"/>
          </w:tcPr>
          <w:p>
            <w:pPr>
              <w:ind w:hanging="1"/>
              <w:jc w:val="right"/>
            </w:pPr>
            <w:r>
              <w:rPr>
                <w:b w:val="0"/>
                <w:i w:val="0"/>
                <w:strike w:val="0"/>
                <w:u w:val="none"/>
              </w:rPr>
              <w:t>148,818,580.73</w:t>
            </w:r>
          </w:p>
        </w:tc>
        <w:tc>
          <w:tcPr>
            <w:tcW w:w="2431" w:type="dxa"/>
            <w:shd w:val="clear" w:color="auto" w:fill="auto"/>
            <w:vAlign w:val="center"/>
          </w:tcPr>
          <w:p>
            <w:pPr>
              <w:ind w:hanging="1"/>
              <w:jc w:val="right"/>
            </w:pPr>
            <w:r>
              <w:rPr>
                <w:b w:val="0"/>
                <w:i w:val="0"/>
                <w:strike w:val="0"/>
                <w:u w:val="none"/>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25进出01</w:t>
            </w:r>
          </w:p>
        </w:tc>
        <w:tc>
          <w:tcPr>
            <w:tcW w:w="2693" w:type="dxa"/>
            <w:shd w:val="clear" w:color="auto" w:fill="auto"/>
            <w:vAlign w:val="center"/>
          </w:tcPr>
          <w:p>
            <w:pPr>
              <w:ind w:hanging="1"/>
              <w:jc w:val="right"/>
            </w:pPr>
            <w:r>
              <w:rPr>
                <w:b w:val="0"/>
                <w:i w:val="0"/>
                <w:strike w:val="0"/>
                <w:u w:val="none"/>
              </w:rPr>
              <w:t>131,558,501.64</w:t>
            </w:r>
          </w:p>
        </w:tc>
        <w:tc>
          <w:tcPr>
            <w:tcW w:w="2431" w:type="dxa"/>
            <w:shd w:val="clear" w:color="auto" w:fill="auto"/>
            <w:vAlign w:val="center"/>
          </w:tcPr>
          <w:p>
            <w:pPr>
              <w:ind w:hanging="1"/>
              <w:jc w:val="right"/>
            </w:pPr>
            <w:r>
              <w:rPr>
                <w:b w:val="0"/>
                <w:i w:val="0"/>
                <w:strike w:val="0"/>
                <w:u w:val="none"/>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25国开01</w:t>
            </w:r>
          </w:p>
        </w:tc>
        <w:tc>
          <w:tcPr>
            <w:tcW w:w="2693" w:type="dxa"/>
            <w:shd w:val="clear" w:color="auto" w:fill="auto"/>
            <w:vAlign w:val="center"/>
          </w:tcPr>
          <w:p>
            <w:pPr>
              <w:ind w:hanging="1"/>
              <w:jc w:val="right"/>
            </w:pPr>
            <w:r>
              <w:rPr>
                <w:b w:val="0"/>
                <w:i w:val="0"/>
                <w:strike w:val="0"/>
                <w:u w:val="none"/>
              </w:rPr>
              <w:t>131,404,012.32</w:t>
            </w:r>
          </w:p>
        </w:tc>
        <w:tc>
          <w:tcPr>
            <w:tcW w:w="2431" w:type="dxa"/>
            <w:shd w:val="clear" w:color="auto" w:fill="auto"/>
            <w:vAlign w:val="center"/>
          </w:tcPr>
          <w:p>
            <w:pPr>
              <w:ind w:hanging="1"/>
              <w:jc w:val="right"/>
            </w:pPr>
            <w:r>
              <w:rPr>
                <w:b w:val="0"/>
                <w:i w:val="0"/>
                <w:strike w:val="0"/>
                <w:u w:val="none"/>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25中原银行CD211</w:t>
            </w:r>
          </w:p>
        </w:tc>
        <w:tc>
          <w:tcPr>
            <w:tcW w:w="2693" w:type="dxa"/>
            <w:shd w:val="clear" w:color="auto" w:fill="auto"/>
            <w:vAlign w:val="center"/>
          </w:tcPr>
          <w:p>
            <w:pPr>
              <w:ind w:hanging="1"/>
              <w:jc w:val="right"/>
            </w:pPr>
            <w:r>
              <w:rPr>
                <w:b w:val="0"/>
                <w:i w:val="0"/>
                <w:strike w:val="0"/>
                <w:u w:val="none"/>
              </w:rPr>
              <w:t>119,383,766.81</w:t>
            </w:r>
          </w:p>
        </w:tc>
        <w:tc>
          <w:tcPr>
            <w:tcW w:w="2431" w:type="dxa"/>
            <w:shd w:val="clear" w:color="auto" w:fill="auto"/>
            <w:vAlign w:val="center"/>
          </w:tcPr>
          <w:p>
            <w:pPr>
              <w:ind w:hanging="1"/>
              <w:jc w:val="right"/>
            </w:pPr>
            <w:r>
              <w:rPr>
                <w:b w:val="0"/>
                <w:i w:val="0"/>
                <w:strike w:val="0"/>
                <w:u w:val="none"/>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25成都农商银行CD052</w:t>
            </w:r>
          </w:p>
        </w:tc>
        <w:tc>
          <w:tcPr>
            <w:tcW w:w="2693" w:type="dxa"/>
            <w:shd w:val="clear" w:color="auto" w:fill="auto"/>
            <w:vAlign w:val="center"/>
          </w:tcPr>
          <w:p>
            <w:pPr>
              <w:ind w:hanging="1"/>
              <w:jc w:val="right"/>
            </w:pPr>
            <w:r>
              <w:rPr>
                <w:b w:val="0"/>
                <w:i w:val="0"/>
                <w:strike w:val="0"/>
                <w:u w:val="none"/>
              </w:rPr>
              <w:t>109,366,644.67</w:t>
            </w:r>
          </w:p>
        </w:tc>
        <w:tc>
          <w:tcPr>
            <w:tcW w:w="2431" w:type="dxa"/>
            <w:shd w:val="clear" w:color="auto" w:fill="auto"/>
            <w:vAlign w:val="center"/>
          </w:tcPr>
          <w:p>
            <w:pPr>
              <w:ind w:hanging="1"/>
              <w:jc w:val="right"/>
            </w:pPr>
            <w:r>
              <w:rPr>
                <w:b w:val="0"/>
                <w:i w:val="0"/>
                <w:strike w:val="0"/>
                <w:u w:val="none"/>
              </w:rPr>
              <w:t>3.40</w:t>
            </w:r>
          </w:p>
        </w:tc>
      </w:tr>
      <w:bookmarkEnd w:id="2"/>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3" w:name="OLE_LINK4"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jc w:val="left"/>
              <w:rPr>
                <w:sz w:val="20"/>
              </w:rPr>
            </w:pPr>
            <w:r>
              <w:rPr>
                <w:rFonts w:asciiTheme="majorEastAsia" w:hAnsiTheme="majorEastAsia" w:eastAsiaTheme="majorEastAsia"/>
                <w:szCs w:val="21"/>
              </w:rPr>
              <w:t>25吉林银行CD131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199,648,119.40</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6.20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25东莞农村商业银行CD131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199,463,671.30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6.20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25长沙银行CD282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199,444,429.12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6.20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25宁波银行CD274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199,394,805.79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R005</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190,012,456.60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5.90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25甘肃银行CD111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148,818,580.73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131,558,501.64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25国开01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131,404,012.32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25中原银行CD211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119,383,766.81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3.71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25成都农商银行CD052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109,366,644.67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3.40</w:t>
            </w:r>
          </w:p>
        </w:tc>
      </w:tr>
      <w:bookmarkEnd w:id="3"/>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731903861410116</w:t>
            </w:r>
          </w:p>
        </w:tc>
        <w:tc>
          <w:tcPr>
            <w:tcW w:w="2693" w:type="dxa"/>
            <w:shd w:val="clear" w:color="auto" w:fill="auto"/>
            <w:vAlign w:val="center"/>
          </w:tcPr>
          <w:p>
            <w:pPr>
              <w:spacing w:before="100" w:beforeAutospacing="1" w:after="100" w:afterAutospacing="1"/>
            </w:pPr>
            <w:r>
              <w:t>湖南银行股份有限公司-融智理财天天添利净值型人民币理财产品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tbl>
      <w:tblPr>
        <w:tblStyle w:val="17"/>
        <w:tblW w:w="10038"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5"/>
        <w:gridCol w:w="1129"/>
        <w:gridCol w:w="1175"/>
        <w:gridCol w:w="1046"/>
        <w:gridCol w:w="1422"/>
        <w:gridCol w:w="1477"/>
        <w:gridCol w:w="1350"/>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D6D6D6"/>
            <w:vAlign w:val="center"/>
          </w:tcPr>
          <w:p>
            <w:pPr>
              <w:spacing w:before="100" w:beforeAutospacing="1" w:after="100" w:afterAutospacing="1"/>
              <w:jc w:val="center"/>
              <w:rPr>
                <w:b/>
                <w:bCs/>
                <w:szCs w:val="22"/>
              </w:rPr>
            </w:pPr>
            <w:r>
              <w:rPr>
                <w:rFonts w:hint="eastAsia"/>
                <w:b/>
                <w:bCs/>
                <w:szCs w:val="22"/>
              </w:rPr>
              <w:t>序号</w:t>
            </w:r>
          </w:p>
        </w:tc>
        <w:tc>
          <w:tcPr>
            <w:tcW w:w="1275" w:type="dxa"/>
            <w:shd w:val="clear" w:color="auto" w:fill="D6D6D6"/>
            <w:vAlign w:val="center"/>
          </w:tcPr>
          <w:p>
            <w:pPr>
              <w:spacing w:before="100" w:beforeAutospacing="1" w:after="100" w:afterAutospacing="1"/>
              <w:jc w:val="center"/>
              <w:rPr>
                <w:b/>
                <w:bCs/>
                <w:szCs w:val="22"/>
              </w:rPr>
            </w:pPr>
            <w:r>
              <w:rPr>
                <w:rFonts w:hint="eastAsia"/>
                <w:b/>
                <w:bCs/>
                <w:szCs w:val="22"/>
              </w:rPr>
              <w:t>交易时间</w:t>
            </w:r>
          </w:p>
        </w:tc>
        <w:tc>
          <w:tcPr>
            <w:tcW w:w="1129" w:type="dxa"/>
            <w:shd w:val="clear" w:color="auto" w:fill="D6D6D6"/>
            <w:vAlign w:val="center"/>
          </w:tcPr>
          <w:p>
            <w:pPr>
              <w:spacing w:before="100" w:beforeAutospacing="1" w:after="100" w:afterAutospacing="1"/>
              <w:jc w:val="center"/>
              <w:rPr>
                <w:b/>
                <w:bCs/>
                <w:szCs w:val="22"/>
              </w:rPr>
            </w:pPr>
            <w:r>
              <w:rPr>
                <w:rFonts w:hint="eastAsia"/>
                <w:b/>
                <w:bCs/>
                <w:szCs w:val="22"/>
              </w:rPr>
              <w:t>投资标的</w:t>
            </w:r>
          </w:p>
        </w:tc>
        <w:tc>
          <w:tcPr>
            <w:tcW w:w="1175" w:type="dxa"/>
            <w:shd w:val="clear" w:color="auto" w:fill="D6D6D6"/>
            <w:vAlign w:val="center"/>
          </w:tcPr>
          <w:p>
            <w:pPr>
              <w:spacing w:before="100" w:beforeAutospacing="1" w:after="100" w:afterAutospacing="1"/>
              <w:jc w:val="center"/>
              <w:rPr>
                <w:b/>
                <w:bCs/>
                <w:szCs w:val="22"/>
              </w:rPr>
            </w:pPr>
            <w:r>
              <w:rPr>
                <w:rFonts w:hint="eastAsia"/>
                <w:b/>
                <w:bCs/>
                <w:szCs w:val="22"/>
              </w:rPr>
              <w:t>交易</w:t>
            </w:r>
            <w:r>
              <w:rPr>
                <w:rFonts w:hint="eastAsia"/>
                <w:b/>
                <w:bCs/>
                <w:szCs w:val="22"/>
                <w:lang w:val="en-US" w:eastAsia="zh-CN"/>
              </w:rPr>
              <w:t>面</w:t>
            </w:r>
            <w:r>
              <w:rPr>
                <w:rFonts w:hint="eastAsia"/>
                <w:b/>
                <w:bCs/>
                <w:szCs w:val="22"/>
              </w:rPr>
              <w:t>额（</w:t>
            </w:r>
            <w:r>
              <w:rPr>
                <w:rFonts w:hint="eastAsia"/>
                <w:b/>
                <w:bCs/>
                <w:szCs w:val="22"/>
                <w:lang w:val="en-US" w:eastAsia="zh-CN"/>
              </w:rPr>
              <w:t>万元</w:t>
            </w:r>
            <w:r>
              <w:rPr>
                <w:rFonts w:hint="eastAsia"/>
                <w:b/>
                <w:bCs/>
                <w:szCs w:val="22"/>
              </w:rPr>
              <w:t>）</w:t>
            </w:r>
          </w:p>
        </w:tc>
        <w:tc>
          <w:tcPr>
            <w:tcW w:w="1046" w:type="dxa"/>
            <w:shd w:val="clear" w:color="auto" w:fill="D6D6D6"/>
            <w:vAlign w:val="center"/>
          </w:tcPr>
          <w:p>
            <w:pPr>
              <w:spacing w:before="100" w:beforeAutospacing="1" w:after="100" w:afterAutospacing="1"/>
              <w:jc w:val="center"/>
              <w:rPr>
                <w:rFonts w:hint="eastAsia" w:eastAsia="宋体"/>
                <w:b/>
                <w:bCs/>
                <w:szCs w:val="22"/>
                <w:lang w:eastAsia="zh-CN"/>
              </w:rPr>
            </w:pPr>
            <w:r>
              <w:rPr>
                <w:rFonts w:hint="eastAsia"/>
                <w:b/>
                <w:bCs/>
                <w:szCs w:val="22"/>
              </w:rPr>
              <w:t>交易</w:t>
            </w:r>
            <w:r>
              <w:rPr>
                <w:rFonts w:hint="eastAsia"/>
                <w:b/>
                <w:bCs/>
                <w:szCs w:val="22"/>
                <w:lang w:val="en-US" w:eastAsia="zh-CN"/>
              </w:rPr>
              <w:t>价格</w:t>
            </w:r>
          </w:p>
        </w:tc>
        <w:tc>
          <w:tcPr>
            <w:tcW w:w="1422" w:type="dxa"/>
            <w:shd w:val="clear" w:color="auto" w:fill="D6D6D6"/>
            <w:vAlign w:val="center"/>
          </w:tcPr>
          <w:p>
            <w:pPr>
              <w:spacing w:before="100" w:beforeAutospacing="1" w:after="100" w:afterAutospacing="1"/>
              <w:jc w:val="center"/>
              <w:rPr>
                <w:b/>
                <w:bCs/>
                <w:szCs w:val="22"/>
              </w:rPr>
            </w:pPr>
            <w:r>
              <w:rPr>
                <w:rFonts w:hint="eastAsia"/>
                <w:b/>
                <w:bCs/>
                <w:szCs w:val="22"/>
              </w:rPr>
              <w:t>关联方</w:t>
            </w:r>
          </w:p>
        </w:tc>
        <w:tc>
          <w:tcPr>
            <w:tcW w:w="1477" w:type="dxa"/>
            <w:shd w:val="clear" w:color="auto" w:fill="D6D6D6"/>
            <w:vAlign w:val="center"/>
          </w:tcPr>
          <w:p>
            <w:pPr>
              <w:spacing w:before="100" w:beforeAutospacing="1" w:after="100" w:afterAutospacing="1"/>
              <w:jc w:val="center"/>
              <w:rPr>
                <w:b/>
                <w:bCs/>
                <w:szCs w:val="22"/>
              </w:rPr>
            </w:pPr>
            <w:r>
              <w:rPr>
                <w:rFonts w:hint="eastAsia"/>
                <w:b/>
                <w:bCs/>
                <w:szCs w:val="22"/>
              </w:rPr>
              <w:t>关联方类别</w:t>
            </w:r>
          </w:p>
        </w:tc>
        <w:tc>
          <w:tcPr>
            <w:tcW w:w="1350" w:type="dxa"/>
            <w:shd w:val="clear" w:color="auto" w:fill="D6D6D6"/>
            <w:vAlign w:val="center"/>
          </w:tcPr>
          <w:p>
            <w:pPr>
              <w:spacing w:before="100" w:beforeAutospacing="1" w:after="100" w:afterAutospacing="1"/>
              <w:jc w:val="center"/>
              <w:rPr>
                <w:b/>
                <w:bCs/>
                <w:szCs w:val="22"/>
              </w:rPr>
            </w:pPr>
            <w:r>
              <w:rPr>
                <w:rFonts w:hint="eastAsia"/>
                <w:b/>
                <w:bCs/>
                <w:szCs w:val="22"/>
              </w:rPr>
              <w:t>关联方交易类型</w:t>
            </w:r>
          </w:p>
        </w:tc>
        <w:tc>
          <w:tcPr>
            <w:tcW w:w="624" w:type="dxa"/>
            <w:shd w:val="clear" w:color="auto" w:fill="D6D6D6"/>
            <w:vAlign w:val="center"/>
          </w:tcPr>
          <w:p>
            <w:pPr>
              <w:spacing w:before="100" w:beforeAutospacing="1" w:after="100" w:afterAutospacing="1"/>
              <w:jc w:val="center"/>
              <w:rPr>
                <w:b/>
                <w:bCs/>
                <w:szCs w:val="22"/>
              </w:rPr>
            </w:pPr>
            <w:r>
              <w:rPr>
                <w:rFonts w:hint="eastAsia"/>
                <w:b/>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color w:val="000000"/>
                <w:kern w:val="0"/>
                <w:sz w:val="20"/>
                <w:szCs w:val="20"/>
                <w:u w:val="none"/>
                <w:lang w:val="en-US" w:eastAsia="zh-CN" w:bidi="ar"/>
              </w:rPr>
              <w:t>1</w:t>
            </w:r>
          </w:p>
        </w:tc>
        <w:tc>
          <w:tcPr>
            <w:tcW w:w="12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cs="宋体"/>
                <w:i w:val="0"/>
                <w:iCs w:val="0"/>
                <w:color w:val="000000"/>
                <w:kern w:val="0"/>
                <w:sz w:val="20"/>
                <w:szCs w:val="20"/>
                <w:u w:val="none"/>
                <w:lang w:val="en-US" w:eastAsia="zh-CN" w:bidi="ar"/>
              </w:rPr>
              <w:t>11-20</w:t>
            </w:r>
          </w:p>
        </w:tc>
        <w:tc>
          <w:tcPr>
            <w:tcW w:w="1129"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逆回购</w:t>
            </w:r>
          </w:p>
        </w:tc>
        <w:tc>
          <w:tcPr>
            <w:tcW w:w="11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500</w:t>
            </w:r>
            <w:bookmarkStart w:id="4" w:name="_GoBack"/>
            <w:bookmarkEnd w:id="4"/>
            <w:r>
              <w:rPr>
                <w:rFonts w:hint="eastAsia" w:ascii="宋体" w:hAnsi="宋体" w:cs="宋体"/>
                <w:i w:val="0"/>
                <w:iCs w:val="0"/>
                <w:color w:val="000000"/>
                <w:kern w:val="0"/>
                <w:sz w:val="20"/>
                <w:szCs w:val="20"/>
                <w:u w:val="none"/>
                <w:lang w:val="en-US" w:eastAsia="zh-CN" w:bidi="ar"/>
              </w:rPr>
              <w:t>0</w:t>
            </w:r>
          </w:p>
        </w:tc>
        <w:tc>
          <w:tcPr>
            <w:tcW w:w="1046"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1.47%</w:t>
            </w:r>
          </w:p>
        </w:tc>
        <w:tc>
          <w:tcPr>
            <w:tcW w:w="1422"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招商证券资产管理有限公司</w:t>
            </w:r>
          </w:p>
        </w:tc>
        <w:tc>
          <w:tcPr>
            <w:tcW w:w="1477"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托管机构的关联法人</w:t>
            </w:r>
          </w:p>
        </w:tc>
        <w:tc>
          <w:tcPr>
            <w:tcW w:w="135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与关联方产品户进行回购交易</w:t>
            </w:r>
          </w:p>
        </w:tc>
        <w:tc>
          <w:tcPr>
            <w:tcW w:w="624" w:type="dxa"/>
            <w:shd w:val="clear" w:color="auto" w:fill="auto"/>
            <w:vAlign w:val="center"/>
          </w:tcPr>
          <w:p>
            <w:pPr>
              <w:jc w:val="center"/>
              <w:rPr>
                <w:rFonts w:hint="eastAsia" w:eastAsia="宋体"/>
                <w:lang w:eastAsia="zh-CN"/>
              </w:rPr>
            </w:pPr>
          </w:p>
        </w:tc>
      </w:tr>
    </w:tbl>
    <w:p>
      <w:pPr>
        <w:pStyle w:val="35"/>
        <w:spacing w:before="156" w:after="468" w:afterLines="150"/>
        <w:rPr>
          <w:rFonts w:hint="eastAsia"/>
          <w:lang w:val="en-US"/>
        </w:rPr>
      </w:pPr>
    </w:p>
    <w:p>
      <w:pPr>
        <w:pStyle w:val="5"/>
        <w:rPr>
          <w:rFonts w:hint="eastAsia"/>
          <w:lang w:val="en-US"/>
        </w:rPr>
      </w:pP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56B2705"/>
    <w:rsid w:val="190E2CD6"/>
    <w:rsid w:val="194A094A"/>
    <w:rsid w:val="19674E0C"/>
    <w:rsid w:val="19F071C9"/>
    <w:rsid w:val="1A4A5E6A"/>
    <w:rsid w:val="1B5E5211"/>
    <w:rsid w:val="1B724B14"/>
    <w:rsid w:val="1D2376F7"/>
    <w:rsid w:val="21C12CB7"/>
    <w:rsid w:val="22081E2C"/>
    <w:rsid w:val="23850629"/>
    <w:rsid w:val="2471543F"/>
    <w:rsid w:val="267720C0"/>
    <w:rsid w:val="29F205DF"/>
    <w:rsid w:val="2BF2229E"/>
    <w:rsid w:val="36A4019A"/>
    <w:rsid w:val="387005BF"/>
    <w:rsid w:val="3BF14519"/>
    <w:rsid w:val="3CD5770B"/>
    <w:rsid w:val="3F2303CA"/>
    <w:rsid w:val="40C95454"/>
    <w:rsid w:val="41954087"/>
    <w:rsid w:val="46BD0280"/>
    <w:rsid w:val="47492D5E"/>
    <w:rsid w:val="47B462D0"/>
    <w:rsid w:val="49162E5D"/>
    <w:rsid w:val="4C1A69E7"/>
    <w:rsid w:val="4DFA6D48"/>
    <w:rsid w:val="526F3658"/>
    <w:rsid w:val="52815F76"/>
    <w:rsid w:val="52A64F62"/>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96F2602"/>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401</Words>
  <Characters>2291</Characters>
  <Lines>19</Lines>
  <Paragraphs>5</Paragraphs>
  <TotalTime>4</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2026-01-22T07:26:58Z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