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bookmarkStart w:id="0" w:name="OLE_LINK1"/>
      <w:r>
        <w:rPr>
          <w:rFonts w:ascii="宋体" w:hAnsi="宋体"/>
          <w:b/>
          <w:bCs/>
          <w:sz w:val="48"/>
          <w:szCs w:val="30"/>
        </w:rPr>
        <w:t>融智理财添利系列-D365-6理财产品</w:t>
      </w:r>
      <w:bookmarkEnd w:id="0"/>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融智理财添利系列-D365-6理财产品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C1136019000154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2019-10-22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65,540,000.00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[1.8%-3.3%]/年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100.14%</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1" w:name="OLE_LINK7"/>
            <w:bookmarkEnd w:id="1"/>
            <w:bookmarkStart w:id="2" w:name="OLE_LINK4"/>
            <w:bookmarkEnd w:id="2"/>
            <w:r>
              <w:t>24.85</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3,221,275.59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341,202.61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65,751,896.69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65,751,896.69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1.2485</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64,469,990.82</w:t>
            </w:r>
          </w:p>
        </w:tc>
        <w:tc>
          <w:tcPr>
            <w:tcW w:w="1749" w:type="dxa"/>
            <w:shd w:val="clear" w:color="auto" w:fill="auto"/>
            <w:vAlign w:val="center"/>
          </w:tcPr>
          <w:p>
            <w:pPr>
              <w:jc w:val="right"/>
            </w:pPr>
            <w:r>
              <w:t>97.91</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64,469,990.82</w:t>
            </w:r>
          </w:p>
        </w:tc>
        <w:tc>
          <w:tcPr>
            <w:tcW w:w="1749" w:type="dxa"/>
            <w:shd w:val="clear" w:color="auto" w:fill="auto"/>
            <w:vAlign w:val="center"/>
          </w:tcPr>
          <w:p>
            <w:pPr>
              <w:jc w:val="right"/>
            </w:pPr>
            <w:r>
              <w:t>97.91</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1,000,065.32</w:t>
            </w:r>
          </w:p>
        </w:tc>
        <w:tc>
          <w:tcPr>
            <w:tcW w:w="1749" w:type="dxa"/>
            <w:shd w:val="clear" w:color="auto" w:fill="auto"/>
            <w:vAlign w:val="center"/>
          </w:tcPr>
          <w:p>
            <w:pPr>
              <w:jc w:val="right"/>
            </w:pPr>
            <w:r>
              <w:t>1.52</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374,130.60</w:t>
            </w:r>
          </w:p>
        </w:tc>
        <w:tc>
          <w:tcPr>
            <w:tcW w:w="1749" w:type="dxa"/>
            <w:shd w:val="clear" w:color="auto" w:fill="auto"/>
            <w:vAlign w:val="center"/>
          </w:tcPr>
          <w:p>
            <w:pPr>
              <w:jc w:val="right"/>
            </w:pPr>
            <w:r>
              <w:t>0.57</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0.95</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65,844,187.69</w:t>
            </w:r>
          </w:p>
        </w:tc>
        <w:tc>
          <w:tcPr>
            <w:tcW w:w="1749" w:type="dxa"/>
            <w:shd w:val="clear" w:color="auto" w:fill="auto"/>
          </w:tcPr>
          <w:p>
            <w:pPr>
              <w:jc w:val="right"/>
            </w:pPr>
            <w:r>
              <w:t>100.00</w:t>
            </w:r>
          </w:p>
        </w:tc>
        <w:tc>
          <w:tcPr>
            <w:tcW w:w="1653" w:type="dxa"/>
          </w:tcPr>
          <w:p>
            <w:pPr>
              <w:jc w:val="right"/>
            </w:pPr>
            <w:r>
              <w:t>0.00</w:t>
            </w:r>
          </w:p>
        </w:tc>
        <w:tc>
          <w:tcPr>
            <w:tcW w:w="1705" w:type="dxa"/>
          </w:tcPr>
          <w:p>
            <w:pPr>
              <w:jc w:val="right"/>
            </w:pPr>
            <w:r>
              <w:t>0.00</w:t>
            </w:r>
          </w:p>
        </w:tc>
      </w:tr>
    </w:tbl>
    <w:p>
      <w:pPr>
        <w:ind w:left="420" w:leftChars="200"/>
        <w:jc w:val="left"/>
        <w:rPr>
          <w:rFonts w:ascii="宋体" w:hAnsi="宋体"/>
          <w:sz w:val="24"/>
        </w:rPr>
      </w:pP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10.14%；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23国开07</w:t>
            </w:r>
          </w:p>
        </w:tc>
        <w:tc>
          <w:tcPr>
            <w:tcW w:w="2693" w:type="dxa"/>
            <w:shd w:val="clear" w:color="auto" w:fill="auto"/>
            <w:vAlign w:val="center"/>
          </w:tcPr>
          <w:p>
            <w:pPr>
              <w:jc w:val="right"/>
            </w:pPr>
            <w:r>
              <w:t>6,291,972.33</w:t>
            </w:r>
          </w:p>
        </w:tc>
        <w:tc>
          <w:tcPr>
            <w:tcW w:w="2431" w:type="dxa"/>
            <w:shd w:val="clear" w:color="auto" w:fill="auto"/>
            <w:vAlign w:val="center"/>
          </w:tcPr>
          <w:p>
            <w:pPr>
              <w:jc w:val="right"/>
            </w:pPr>
            <w: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24洞庭01</w:t>
            </w:r>
          </w:p>
        </w:tc>
        <w:tc>
          <w:tcPr>
            <w:tcW w:w="2693" w:type="dxa"/>
            <w:shd w:val="clear" w:color="auto" w:fill="auto"/>
            <w:vAlign w:val="center"/>
          </w:tcPr>
          <w:p>
            <w:pPr>
              <w:ind w:hanging="1"/>
              <w:jc w:val="right"/>
            </w:pPr>
            <w:r>
              <w:rPr>
                <w:b w:val="0"/>
                <w:i w:val="0"/>
                <w:strike w:val="0"/>
                <w:u w:val="none"/>
              </w:rPr>
              <w:t>5,823,064.11</w:t>
            </w:r>
          </w:p>
        </w:tc>
        <w:tc>
          <w:tcPr>
            <w:tcW w:w="2431" w:type="dxa"/>
            <w:shd w:val="clear" w:color="auto" w:fill="auto"/>
            <w:vAlign w:val="center"/>
          </w:tcPr>
          <w:p>
            <w:pPr>
              <w:ind w:hanging="1"/>
              <w:jc w:val="right"/>
            </w:pPr>
            <w:r>
              <w:rPr>
                <w:b w:val="0"/>
                <w:i w:val="0"/>
                <w:strike w:val="0"/>
                <w:u w:val="none"/>
              </w:rPr>
              <w:t>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24惠临02</w:t>
            </w:r>
          </w:p>
        </w:tc>
        <w:tc>
          <w:tcPr>
            <w:tcW w:w="2693" w:type="dxa"/>
            <w:shd w:val="clear" w:color="auto" w:fill="auto"/>
            <w:vAlign w:val="center"/>
          </w:tcPr>
          <w:p>
            <w:pPr>
              <w:ind w:hanging="1"/>
              <w:jc w:val="right"/>
            </w:pPr>
            <w:r>
              <w:rPr>
                <w:b w:val="0"/>
                <w:i w:val="0"/>
                <w:strike w:val="0"/>
                <w:u w:val="none"/>
              </w:rPr>
              <w:t>4,692,508.77</w:t>
            </w:r>
          </w:p>
        </w:tc>
        <w:tc>
          <w:tcPr>
            <w:tcW w:w="2431" w:type="dxa"/>
            <w:shd w:val="clear" w:color="auto" w:fill="auto"/>
            <w:vAlign w:val="center"/>
          </w:tcPr>
          <w:p>
            <w:pPr>
              <w:ind w:hanging="1"/>
              <w:jc w:val="right"/>
            </w:pPr>
            <w:r>
              <w:rPr>
                <w:b w:val="0"/>
                <w:i w:val="0"/>
                <w:strike w:val="0"/>
                <w:u w:val="none"/>
              </w:rPr>
              <w:t>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24吉华01</w:t>
            </w:r>
          </w:p>
        </w:tc>
        <w:tc>
          <w:tcPr>
            <w:tcW w:w="2693" w:type="dxa"/>
            <w:shd w:val="clear" w:color="auto" w:fill="auto"/>
            <w:vAlign w:val="center"/>
          </w:tcPr>
          <w:p>
            <w:pPr>
              <w:ind w:hanging="1"/>
              <w:jc w:val="right"/>
            </w:pPr>
            <w:r>
              <w:rPr>
                <w:b w:val="0"/>
                <w:i w:val="0"/>
                <w:strike w:val="0"/>
                <w:u w:val="none"/>
              </w:rPr>
              <w:t>4,678,103.84</w:t>
            </w:r>
          </w:p>
        </w:tc>
        <w:tc>
          <w:tcPr>
            <w:tcW w:w="2431" w:type="dxa"/>
            <w:shd w:val="clear" w:color="auto" w:fill="auto"/>
            <w:vAlign w:val="center"/>
          </w:tcPr>
          <w:p>
            <w:pPr>
              <w:ind w:hanging="1"/>
              <w:jc w:val="right"/>
            </w:pPr>
            <w:r>
              <w:rPr>
                <w:b w:val="0"/>
                <w:i w:val="0"/>
                <w:strike w:val="0"/>
                <w:u w:val="none"/>
              </w:rPr>
              <w:t>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22株城04</w:t>
            </w:r>
          </w:p>
        </w:tc>
        <w:tc>
          <w:tcPr>
            <w:tcW w:w="2693" w:type="dxa"/>
            <w:shd w:val="clear" w:color="auto" w:fill="auto"/>
            <w:vAlign w:val="center"/>
          </w:tcPr>
          <w:p>
            <w:pPr>
              <w:ind w:hanging="1"/>
              <w:jc w:val="right"/>
            </w:pPr>
            <w:r>
              <w:rPr>
                <w:b w:val="0"/>
                <w:i w:val="0"/>
                <w:strike w:val="0"/>
                <w:u w:val="none"/>
              </w:rPr>
              <w:t>4,271,307.40</w:t>
            </w:r>
          </w:p>
        </w:tc>
        <w:tc>
          <w:tcPr>
            <w:tcW w:w="2431" w:type="dxa"/>
            <w:shd w:val="clear" w:color="auto" w:fill="auto"/>
            <w:vAlign w:val="center"/>
          </w:tcPr>
          <w:p>
            <w:pPr>
              <w:ind w:hanging="1"/>
              <w:jc w:val="right"/>
            </w:pPr>
            <w:r>
              <w:rPr>
                <w:b w:val="0"/>
                <w:i w:val="0"/>
                <w:strike w:val="0"/>
                <w:u w:val="none"/>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24郴新01</w:t>
            </w:r>
          </w:p>
        </w:tc>
        <w:tc>
          <w:tcPr>
            <w:tcW w:w="2693" w:type="dxa"/>
            <w:shd w:val="clear" w:color="auto" w:fill="auto"/>
            <w:vAlign w:val="center"/>
          </w:tcPr>
          <w:p>
            <w:pPr>
              <w:ind w:hanging="1"/>
              <w:jc w:val="right"/>
            </w:pPr>
            <w:r>
              <w:rPr>
                <w:b w:val="0"/>
                <w:i w:val="0"/>
                <w:strike w:val="0"/>
                <w:u w:val="none"/>
              </w:rPr>
              <w:t>4,220,098.63</w:t>
            </w:r>
          </w:p>
        </w:tc>
        <w:tc>
          <w:tcPr>
            <w:tcW w:w="2431" w:type="dxa"/>
            <w:shd w:val="clear" w:color="auto" w:fill="auto"/>
            <w:vAlign w:val="center"/>
          </w:tcPr>
          <w:p>
            <w:pPr>
              <w:ind w:hanging="1"/>
              <w:jc w:val="right"/>
            </w:pPr>
            <w:r>
              <w:rPr>
                <w:b w:val="0"/>
                <w:i w:val="0"/>
                <w:strike w:val="0"/>
                <w:u w:val="none"/>
              </w:rPr>
              <w:t>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23望城经开01</w:t>
            </w:r>
          </w:p>
        </w:tc>
        <w:tc>
          <w:tcPr>
            <w:tcW w:w="2693" w:type="dxa"/>
            <w:shd w:val="clear" w:color="auto" w:fill="auto"/>
            <w:vAlign w:val="center"/>
          </w:tcPr>
          <w:p>
            <w:pPr>
              <w:ind w:hanging="1"/>
              <w:jc w:val="right"/>
            </w:pPr>
            <w:r>
              <w:rPr>
                <w:b w:val="0"/>
                <w:i w:val="0"/>
                <w:strike w:val="0"/>
                <w:u w:val="none"/>
              </w:rPr>
              <w:t>4,161,224.14</w:t>
            </w:r>
          </w:p>
        </w:tc>
        <w:tc>
          <w:tcPr>
            <w:tcW w:w="2431" w:type="dxa"/>
            <w:shd w:val="clear" w:color="auto" w:fill="auto"/>
            <w:vAlign w:val="center"/>
          </w:tcPr>
          <w:p>
            <w:pPr>
              <w:ind w:hanging="1"/>
              <w:jc w:val="right"/>
            </w:pPr>
            <w:r>
              <w:rPr>
                <w:b w:val="0"/>
                <w:i w:val="0"/>
                <w:strike w:val="0"/>
                <w:u w:val="none"/>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23永城02</w:t>
            </w:r>
          </w:p>
        </w:tc>
        <w:tc>
          <w:tcPr>
            <w:tcW w:w="2693" w:type="dxa"/>
            <w:shd w:val="clear" w:color="auto" w:fill="auto"/>
            <w:vAlign w:val="center"/>
          </w:tcPr>
          <w:p>
            <w:pPr>
              <w:ind w:hanging="1"/>
              <w:jc w:val="right"/>
            </w:pPr>
            <w:r>
              <w:rPr>
                <w:b w:val="0"/>
                <w:i w:val="0"/>
                <w:strike w:val="0"/>
                <w:u w:val="none"/>
              </w:rPr>
              <w:t>3,548,720.66</w:t>
            </w:r>
          </w:p>
        </w:tc>
        <w:tc>
          <w:tcPr>
            <w:tcW w:w="2431" w:type="dxa"/>
            <w:shd w:val="clear" w:color="auto" w:fill="auto"/>
            <w:vAlign w:val="center"/>
          </w:tcPr>
          <w:p>
            <w:pPr>
              <w:ind w:hanging="1"/>
              <w:jc w:val="right"/>
            </w:pPr>
            <w:r>
              <w:rPr>
                <w:b w:val="0"/>
                <w:i w:val="0"/>
                <w:strike w:val="0"/>
                <w:u w:val="none"/>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24浏城01</w:t>
            </w:r>
          </w:p>
        </w:tc>
        <w:tc>
          <w:tcPr>
            <w:tcW w:w="2693" w:type="dxa"/>
            <w:shd w:val="clear" w:color="auto" w:fill="auto"/>
            <w:vAlign w:val="center"/>
          </w:tcPr>
          <w:p>
            <w:pPr>
              <w:ind w:hanging="1"/>
              <w:jc w:val="right"/>
            </w:pPr>
            <w:r>
              <w:rPr>
                <w:b w:val="0"/>
                <w:i w:val="0"/>
                <w:strike w:val="0"/>
                <w:u w:val="none"/>
              </w:rPr>
              <w:t>3,517,276.71</w:t>
            </w:r>
          </w:p>
        </w:tc>
        <w:tc>
          <w:tcPr>
            <w:tcW w:w="2431" w:type="dxa"/>
            <w:shd w:val="clear" w:color="auto" w:fill="auto"/>
            <w:vAlign w:val="center"/>
          </w:tcPr>
          <w:p>
            <w:pPr>
              <w:ind w:hanging="1"/>
              <w:jc w:val="right"/>
            </w:pPr>
            <w:r>
              <w:rPr>
                <w:b w:val="0"/>
                <w:i w:val="0"/>
                <w:strike w:val="0"/>
                <w:u w:val="none"/>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PR龙岭债</w:t>
            </w:r>
          </w:p>
        </w:tc>
        <w:tc>
          <w:tcPr>
            <w:tcW w:w="2693" w:type="dxa"/>
            <w:shd w:val="clear" w:color="auto" w:fill="auto"/>
            <w:vAlign w:val="center"/>
          </w:tcPr>
          <w:p>
            <w:pPr>
              <w:ind w:hanging="1"/>
              <w:jc w:val="right"/>
            </w:pPr>
            <w:r>
              <w:rPr>
                <w:b w:val="0"/>
                <w:i w:val="0"/>
                <w:strike w:val="0"/>
                <w:u w:val="none"/>
              </w:rPr>
              <w:t>3,180,280.77</w:t>
            </w:r>
          </w:p>
        </w:tc>
        <w:tc>
          <w:tcPr>
            <w:tcW w:w="2431" w:type="dxa"/>
            <w:shd w:val="clear" w:color="auto" w:fill="auto"/>
            <w:vAlign w:val="center"/>
          </w:tcPr>
          <w:p>
            <w:pPr>
              <w:ind w:hanging="1"/>
              <w:jc w:val="right"/>
            </w:pPr>
            <w:r>
              <w:rPr>
                <w:b w:val="0"/>
                <w:i w:val="0"/>
                <w:strike w:val="0"/>
                <w:u w:val="none"/>
              </w:rPr>
              <w:t>4.84</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3"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23国开07</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6,291,972.33</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9.57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24洞庭01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5,823,064.11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8.86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24惠临02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4,692,508.77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7.14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24吉华01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4,678,103.84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7.11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22株城04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4,271,307.40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6.50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24郴新01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4,220,098.63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6.42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23望城经开01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4,161,224.14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6.33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23永城02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3,548,720.66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5.40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24浏城01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3,517,276.71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5.35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PR龙岭债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3,180,280.77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4.84</w:t>
            </w:r>
          </w:p>
        </w:tc>
      </w:tr>
      <w:bookmarkEnd w:id="3"/>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731903861410528</w:t>
            </w:r>
          </w:p>
        </w:tc>
        <w:tc>
          <w:tcPr>
            <w:tcW w:w="2693" w:type="dxa"/>
            <w:shd w:val="clear" w:color="auto" w:fill="auto"/>
            <w:vAlign w:val="center"/>
          </w:tcPr>
          <w:p>
            <w:pPr>
              <w:spacing w:before="100" w:beforeAutospacing="1" w:after="100" w:afterAutospacing="1"/>
            </w:pPr>
            <w:r>
              <w:t>湖南银行股份有限公司-融智理财添利系列-D365-6理财产品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0436C8F"/>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5</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2026-01-22T08:19:34Z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