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FA" w:rsidRDefault="00C07BAC" w:rsidP="00BC40A1">
      <w:pPr>
        <w:spacing w:line="360" w:lineRule="atLeast"/>
        <w:ind w:firstLineChars="800" w:firstLine="2570"/>
        <w:jc w:val="left"/>
        <w:outlineLvl w:val="0"/>
        <w:rPr>
          <w:rFonts w:ascii="宋体" w:hAnsi="宋体"/>
          <w:b/>
          <w:sz w:val="32"/>
          <w:szCs w:val="32"/>
        </w:rPr>
        <w:sectPr w:rsidR="00EB23FA">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End w:id="0"/>
    </w:p>
    <w:p w:rsidR="00EB23FA" w:rsidRDefault="00C07BAC">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EB23FA" w:rsidRDefault="00C07BAC">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EB23FA">
        <w:tc>
          <w:tcPr>
            <w:tcW w:w="10682" w:type="dxa"/>
            <w:shd w:val="clear" w:color="auto" w:fill="auto"/>
          </w:tcPr>
          <w:p w:rsidR="00EB23FA" w:rsidRDefault="00C07BAC">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EB23FA" w:rsidRDefault="00C07BAC">
            <w:r>
              <w:t xml:space="preserve">2. </w:t>
            </w:r>
            <w:r>
              <w:rPr>
                <w:rFonts w:hint="eastAsia"/>
              </w:rPr>
              <w:t>本理财产品不同于银行存款，湖南银行不保证本金及收益，您的本金可能因为市场变动而蒙受相应损失，您应充分认识投资风险，谨慎投资。</w:t>
            </w:r>
          </w:p>
          <w:p w:rsidR="00EB23FA" w:rsidRDefault="00C07BAC">
            <w:r>
              <w:t xml:space="preserve">3. </w:t>
            </w:r>
            <w:r>
              <w:rPr>
                <w:rFonts w:hint="eastAsia"/>
              </w:rPr>
              <w:t>投资者不得使用贷款、发行债券等筹集的非自有资金投资本理财产品。</w:t>
            </w:r>
          </w:p>
          <w:p w:rsidR="00EB23FA" w:rsidRDefault="00C07BAC">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EB23FA" w:rsidRDefault="00C07BAC">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EB23FA" w:rsidRDefault="00C07BAC">
            <w:r>
              <w:t>6.</w:t>
            </w:r>
            <w:r>
              <w:rPr>
                <w:rFonts w:hint="eastAsia"/>
              </w:rPr>
              <w:t>理财产品过往业绩不代表其未来表现，不等于理财产品实际收益，投资须谨慎。</w:t>
            </w:r>
          </w:p>
          <w:p w:rsidR="00EB23FA" w:rsidRDefault="00C07BAC">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EB23FA" w:rsidRDefault="00C07BAC">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EB23FA" w:rsidRDefault="00C07BAC">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EB23FA" w:rsidRDefault="00C07BAC">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EB23FA" w:rsidRDefault="00C07BAC">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EB23FA" w:rsidRDefault="00EB23FA">
      <w:pPr>
        <w:spacing w:line="360" w:lineRule="atLeast"/>
        <w:ind w:rightChars="15" w:right="31"/>
        <w:jc w:val="left"/>
        <w:rPr>
          <w:rFonts w:ascii="宋体" w:hAnsi="宋体" w:cs="宋体"/>
          <w:b/>
          <w:bCs/>
          <w:szCs w:val="21"/>
        </w:rPr>
      </w:pPr>
    </w:p>
    <w:p w:rsidR="00EB23FA" w:rsidRDefault="00C07BAC">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EB23FA">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（净值型）26001号理财产品</w:t>
            </w:r>
          </w:p>
        </w:tc>
      </w:tr>
      <w:tr w:rsidR="00EB23FA">
        <w:trPr>
          <w:trHeight w:val="9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hint="eastAsia"/>
                <w:szCs w:val="21"/>
              </w:rPr>
              <w:t>G26001</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F80166">
            <w:pPr>
              <w:spacing w:line="360" w:lineRule="atLeast"/>
              <w:ind w:rightChars="15" w:right="31"/>
              <w:rPr>
                <w:rFonts w:ascii="宋体" w:hAnsi="宋体" w:cs="宋体"/>
                <w:kern w:val="0"/>
                <w:szCs w:val="21"/>
              </w:rPr>
            </w:pPr>
            <w:r w:rsidRPr="00F80166">
              <w:rPr>
                <w:rFonts w:ascii="宋体" w:hAnsi="宋体"/>
                <w:szCs w:val="21"/>
              </w:rPr>
              <w:t>C1136026A000001</w:t>
            </w:r>
            <w:r w:rsidR="00C07BAC">
              <w:rPr>
                <w:rFonts w:ascii="宋体" w:hAnsi="宋体" w:hint="eastAsia"/>
                <w:szCs w:val="21"/>
              </w:rPr>
              <w:t>（为全国银行业理财信息登记系统的登记编码，客户可依据该登记编码在中国理财网查询该产品信息）</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cs="宋体"/>
                <w:szCs w:val="21"/>
              </w:rPr>
              <w:t>人民币</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kern w:val="0"/>
                <w:szCs w:val="21"/>
              </w:rPr>
            </w:pPr>
            <w:r>
              <w:rPr>
                <w:rFonts w:ascii="宋体" w:hAnsi="宋体" w:cs="宋体" w:hint="eastAsia"/>
                <w:kern w:val="0"/>
                <w:szCs w:val="21"/>
              </w:rPr>
              <w:t>私募、封闭式、</w:t>
            </w:r>
            <w:proofErr w:type="gramStart"/>
            <w:r>
              <w:rPr>
                <w:rFonts w:ascii="宋体" w:hAnsi="宋体" w:cs="宋体" w:hint="eastAsia"/>
                <w:kern w:val="0"/>
                <w:szCs w:val="21"/>
              </w:rPr>
              <w:t>固收类</w:t>
            </w:r>
            <w:proofErr w:type="gramEnd"/>
            <w:r>
              <w:rPr>
                <w:rFonts w:ascii="宋体" w:hAnsi="宋体" w:cs="宋体" w:hint="eastAsia"/>
                <w:kern w:val="0"/>
                <w:szCs w:val="21"/>
              </w:rPr>
              <w:t>净值型产品</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cs="宋体"/>
                <w:szCs w:val="21"/>
              </w:rPr>
              <w:t>根据本行理财产品风险评级，本产品属于【□低风险（R1）、□中低风险（R2）、■中等风险（R3）、□中高风险（R4）、</w:t>
            </w:r>
            <w:r>
              <w:rPr>
                <w:rFonts w:ascii="宋体" w:hAnsi="宋体" w:cs="宋体"/>
                <w:szCs w:val="21"/>
              </w:rPr>
              <w:sym w:font="Wingdings 2" w:char="00A3"/>
            </w:r>
            <w:r>
              <w:rPr>
                <w:rFonts w:ascii="宋体" w:hAnsi="宋体" w:cs="宋体"/>
                <w:szCs w:val="21"/>
              </w:rPr>
              <w:t>高风险（R5）】理财产品</w:t>
            </w:r>
            <w:r>
              <w:rPr>
                <w:rFonts w:ascii="宋体" w:hAnsi="宋体" w:hint="eastAsia"/>
                <w:kern w:val="0"/>
                <w:szCs w:val="21"/>
              </w:rPr>
              <w:t>。</w:t>
            </w:r>
          </w:p>
        </w:tc>
      </w:tr>
      <w:tr w:rsidR="00EB23FA">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hint="eastAsia"/>
                <w:szCs w:val="21"/>
              </w:rPr>
              <w:t>合格投资者</w:t>
            </w:r>
            <w:r>
              <w:rPr>
                <w:rFonts w:ascii="宋体" w:hAnsi="宋体" w:hint="eastAsia"/>
                <w:szCs w:val="21"/>
              </w:rPr>
              <w:t>。</w:t>
            </w:r>
          </w:p>
        </w:tc>
      </w:tr>
      <w:tr w:rsidR="00EB23FA">
        <w:trPr>
          <w:trHeight w:val="462"/>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3.0%-3.5%</w:t>
            </w:r>
            <w:r>
              <w:rPr>
                <w:rFonts w:ascii="宋体" w:hAnsi="宋体" w:cs="宋体" w:hint="eastAsia"/>
                <w:szCs w:val="21"/>
              </w:rPr>
              <w:t>，产品表现跟随市场波动，</w:t>
            </w:r>
            <w:r>
              <w:rPr>
                <w:rFonts w:ascii="宋体" w:hAnsi="宋体" w:cs="宋体" w:hint="eastAsia"/>
                <w:color w:val="000000"/>
                <w:szCs w:val="21"/>
              </w:rPr>
              <w:t>业绩比较基准不是预期收益率，不代表产品的未来表现和实际收益，不构成对产品收益的承诺。</w:t>
            </w:r>
          </w:p>
        </w:tc>
      </w:tr>
      <w:tr w:rsidR="00EB23FA">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cs="宋体"/>
                <w:szCs w:val="21"/>
              </w:rPr>
            </w:pPr>
            <w:r>
              <w:rPr>
                <w:rFonts w:hint="eastAsia"/>
              </w:rPr>
              <w:t>具体分红方案以我行公告为准。</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hint="eastAsia"/>
                <w:szCs w:val="21"/>
                <w:u w:val="single"/>
              </w:rPr>
              <w:t>5</w:t>
            </w:r>
            <w:r>
              <w:rPr>
                <w:rFonts w:ascii="宋体" w:hAnsi="宋体" w:cs="宋体"/>
                <w:szCs w:val="21"/>
                <w:u w:val="single"/>
              </w:rPr>
              <w:t>00</w:t>
            </w:r>
            <w:r>
              <w:rPr>
                <w:rFonts w:ascii="宋体" w:hAnsi="宋体"/>
                <w:szCs w:val="21"/>
              </w:rPr>
              <w:t>万份，上限</w:t>
            </w:r>
            <w:r>
              <w:rPr>
                <w:rFonts w:ascii="宋体" w:hAnsi="宋体" w:cs="宋体" w:hint="eastAsia"/>
                <w:szCs w:val="21"/>
                <w:u w:val="single"/>
              </w:rPr>
              <w:t>8000</w:t>
            </w:r>
            <w:r>
              <w:rPr>
                <w:rFonts w:ascii="宋体" w:hAnsi="宋体" w:hint="eastAsia"/>
                <w:szCs w:val="21"/>
              </w:rPr>
              <w:t>万</w:t>
            </w:r>
            <w:r>
              <w:rPr>
                <w:rFonts w:ascii="宋体" w:hAnsi="宋体"/>
                <w:szCs w:val="21"/>
              </w:rPr>
              <w:t>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hint="eastAsia"/>
                <w:szCs w:val="21"/>
                <w:u w:val="single"/>
              </w:rPr>
              <w:t>30</w:t>
            </w:r>
            <w:r>
              <w:rPr>
                <w:rFonts w:ascii="宋体" w:hAnsi="宋体" w:cs="宋体"/>
                <w:kern w:val="0"/>
                <w:szCs w:val="21"/>
              </w:rPr>
              <w:t>万份；超出首次投资最低份额部分，须为</w:t>
            </w:r>
            <w:r>
              <w:rPr>
                <w:rFonts w:ascii="宋体" w:hAnsi="宋体" w:cs="宋体"/>
                <w:szCs w:val="21"/>
                <w:u w:val="single"/>
              </w:rPr>
              <w:t>1</w:t>
            </w:r>
            <w:r>
              <w:rPr>
                <w:rFonts w:ascii="宋体" w:hAnsi="宋体" w:cs="宋体" w:hint="eastAsia"/>
                <w:kern w:val="0"/>
                <w:szCs w:val="21"/>
              </w:rPr>
              <w:t>万份</w:t>
            </w:r>
            <w:r>
              <w:rPr>
                <w:rFonts w:ascii="宋体" w:hAnsi="宋体" w:cs="宋体"/>
                <w:kern w:val="0"/>
                <w:szCs w:val="21"/>
              </w:rPr>
              <w:t>或</w:t>
            </w:r>
            <w:r>
              <w:rPr>
                <w:rFonts w:ascii="宋体" w:hAnsi="宋体" w:cs="宋体"/>
                <w:szCs w:val="21"/>
                <w:u w:val="single"/>
              </w:rPr>
              <w:t>1</w:t>
            </w:r>
            <w:r>
              <w:rPr>
                <w:rFonts w:ascii="宋体" w:hAnsi="宋体" w:cs="宋体" w:hint="eastAsia"/>
                <w:kern w:val="0"/>
                <w:szCs w:val="21"/>
              </w:rPr>
              <w:t>万份</w:t>
            </w:r>
            <w:r>
              <w:rPr>
                <w:rFonts w:ascii="宋体" w:hAnsi="宋体" w:cs="宋体"/>
                <w:kern w:val="0"/>
                <w:szCs w:val="21"/>
              </w:rPr>
              <w:t>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8000</w:t>
            </w:r>
            <w:r>
              <w:rPr>
                <w:rFonts w:ascii="宋体" w:hAnsi="宋体"/>
                <w:kern w:val="0"/>
                <w:szCs w:val="21"/>
              </w:rPr>
              <w:t>万元和本</w:t>
            </w:r>
            <w:r>
              <w:rPr>
                <w:rFonts w:ascii="宋体" w:hAnsi="宋体" w:hint="eastAsia"/>
                <w:kern w:val="0"/>
                <w:szCs w:val="21"/>
              </w:rPr>
              <w:t>理财产品规模上限的二者较小值。</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left"/>
              <w:rPr>
                <w:rFonts w:ascii="宋体" w:hAnsi="宋体"/>
                <w:b/>
                <w:bCs/>
                <w:kern w:val="0"/>
                <w:szCs w:val="21"/>
              </w:rPr>
            </w:pPr>
            <w:r>
              <w:rPr>
                <w:rFonts w:ascii="宋体" w:hAnsi="宋体" w:cs="宋体" w:hint="eastAsia"/>
                <w:b/>
                <w:bCs/>
                <w:szCs w:val="21"/>
                <w:u w:val="single"/>
              </w:rPr>
              <w:t>8000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EB23FA" w:rsidRDefault="00C07BAC">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szCs w:val="21"/>
                <w:u w:val="single"/>
              </w:rPr>
            </w:pPr>
            <w:bookmarkStart w:id="3" w:name="OLE_LINK5"/>
            <w:bookmarkStart w:id="4" w:name="OLE_LINK6"/>
            <w:bookmarkEnd w:id="3"/>
            <w:bookmarkEnd w:id="4"/>
            <w:r>
              <w:rPr>
                <w:rFonts w:ascii="宋体" w:hAnsi="宋体" w:cs="宋体"/>
                <w:szCs w:val="21"/>
                <w:u w:val="single"/>
              </w:rPr>
              <w:t>202</w:t>
            </w:r>
            <w:r>
              <w:rPr>
                <w:rFonts w:ascii="宋体" w:hAnsi="宋体" w:cs="宋体" w:hint="eastAsia"/>
                <w:szCs w:val="21"/>
                <w:u w:val="single"/>
              </w:rPr>
              <w:t>6</w:t>
            </w:r>
            <w:r>
              <w:rPr>
                <w:rFonts w:ascii="宋体" w:hAnsi="宋体"/>
                <w:szCs w:val="21"/>
              </w:rPr>
              <w:t>年</w:t>
            </w:r>
            <w:r>
              <w:rPr>
                <w:rFonts w:ascii="宋体" w:hAnsi="宋体" w:cs="宋体" w:hint="eastAsia"/>
                <w:szCs w:val="21"/>
                <w:u w:val="single"/>
              </w:rPr>
              <w:t>1</w:t>
            </w:r>
            <w:r>
              <w:rPr>
                <w:rFonts w:ascii="宋体" w:hAnsi="宋体"/>
                <w:szCs w:val="21"/>
              </w:rPr>
              <w:t>月</w:t>
            </w:r>
            <w:r>
              <w:rPr>
                <w:rFonts w:ascii="宋体" w:hAnsi="宋体" w:cs="宋体" w:hint="eastAsia"/>
                <w:szCs w:val="21"/>
                <w:u w:val="single"/>
              </w:rPr>
              <w:t>6</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w:t>
            </w:r>
            <w:r>
              <w:rPr>
                <w:rFonts w:ascii="宋体" w:hAnsi="宋体" w:cs="宋体" w:hint="eastAsia"/>
                <w:szCs w:val="21"/>
                <w:u w:val="single"/>
              </w:rPr>
              <w:t>6</w:t>
            </w:r>
            <w:r>
              <w:rPr>
                <w:rFonts w:ascii="宋体" w:hAnsi="宋体"/>
                <w:szCs w:val="21"/>
              </w:rPr>
              <w:t>年</w:t>
            </w:r>
            <w:bookmarkStart w:id="5" w:name="OLE_LINK4"/>
            <w:bookmarkStart w:id="6" w:name="OLE_LINK3"/>
            <w:bookmarkEnd w:id="5"/>
            <w:bookmarkEnd w:id="6"/>
            <w:r>
              <w:rPr>
                <w:rFonts w:ascii="宋体" w:hAnsi="宋体" w:cs="宋体" w:hint="eastAsia"/>
                <w:szCs w:val="21"/>
                <w:u w:val="single"/>
              </w:rPr>
              <w:t>1</w:t>
            </w:r>
            <w:r>
              <w:rPr>
                <w:rFonts w:ascii="宋体" w:hAnsi="宋体"/>
                <w:szCs w:val="21"/>
              </w:rPr>
              <w:t>月</w:t>
            </w:r>
            <w:r>
              <w:rPr>
                <w:rFonts w:ascii="宋体" w:hAnsi="宋体" w:cs="宋体" w:hint="eastAsia"/>
                <w:szCs w:val="21"/>
                <w:u w:val="single"/>
              </w:rPr>
              <w:t>8</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EB23FA" w:rsidRDefault="00C07BAC">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EB23FA" w:rsidRDefault="00C07BAC">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EB23FA" w:rsidRDefault="00C07BAC">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kern w:val="0"/>
                <w:szCs w:val="21"/>
              </w:rPr>
            </w:pPr>
            <w:r>
              <w:rPr>
                <w:rFonts w:ascii="宋体" w:hAnsi="宋体" w:hint="eastAsia"/>
                <w:kern w:val="0"/>
                <w:szCs w:val="21"/>
              </w:rPr>
              <w:t>认购冷静期</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left"/>
              <w:rPr>
                <w:rFonts w:ascii="宋体" w:hAnsi="宋体"/>
                <w:kern w:val="0"/>
                <w:szCs w:val="21"/>
              </w:rPr>
            </w:pPr>
            <w:r>
              <w:rPr>
                <w:rFonts w:ascii="宋体" w:hAnsi="宋体" w:hint="eastAsia"/>
                <w:kern w:val="0"/>
                <w:szCs w:val="21"/>
              </w:rPr>
              <w:t>自签订理财产品购买合同起，至</w:t>
            </w:r>
            <w:r>
              <w:rPr>
                <w:rFonts w:ascii="宋体" w:hAnsi="宋体" w:hint="eastAsia"/>
                <w:kern w:val="0"/>
                <w:szCs w:val="21"/>
                <w:u w:val="single"/>
              </w:rPr>
              <w:t>2026</w:t>
            </w:r>
            <w:r>
              <w:rPr>
                <w:rFonts w:ascii="宋体" w:hAnsi="宋体"/>
                <w:kern w:val="0"/>
                <w:szCs w:val="21"/>
              </w:rPr>
              <w:t>年</w:t>
            </w:r>
            <w:r>
              <w:rPr>
                <w:rFonts w:ascii="宋体" w:hAnsi="宋体" w:hint="eastAsia"/>
                <w:kern w:val="0"/>
                <w:szCs w:val="21"/>
                <w:u w:val="single"/>
              </w:rPr>
              <w:t>1</w:t>
            </w:r>
            <w:r>
              <w:rPr>
                <w:rFonts w:ascii="宋体" w:hAnsi="宋体"/>
                <w:kern w:val="0"/>
                <w:szCs w:val="21"/>
              </w:rPr>
              <w:t>月</w:t>
            </w:r>
            <w:r>
              <w:rPr>
                <w:rFonts w:ascii="宋体" w:hAnsi="宋体" w:hint="eastAsia"/>
                <w:kern w:val="0"/>
                <w:szCs w:val="21"/>
                <w:u w:val="single"/>
              </w:rPr>
              <w:t>8</w:t>
            </w:r>
            <w:r>
              <w:rPr>
                <w:rFonts w:ascii="宋体" w:hAnsi="宋体"/>
                <w:kern w:val="0"/>
                <w:szCs w:val="21"/>
              </w:rPr>
              <w:t>日</w:t>
            </w:r>
            <w:r>
              <w:rPr>
                <w:rFonts w:ascii="宋体" w:hAnsi="宋体" w:cs="宋体" w:hint="eastAsia"/>
                <w:szCs w:val="21"/>
                <w:u w:val="single"/>
              </w:rPr>
              <w:t>17:30</w:t>
            </w:r>
            <w:r>
              <w:rPr>
                <w:rFonts w:ascii="宋体" w:hAnsi="宋体" w:hint="eastAsia"/>
                <w:kern w:val="0"/>
                <w:szCs w:val="21"/>
              </w:rPr>
              <w:t>截止。</w:t>
            </w:r>
          </w:p>
          <w:p w:rsidR="00EB23FA" w:rsidRDefault="00C07BAC">
            <w:pPr>
              <w:spacing w:line="360" w:lineRule="atLeast"/>
              <w:ind w:rightChars="15" w:right="31"/>
              <w:rPr>
                <w:rFonts w:ascii="宋体" w:hAnsi="宋体"/>
              </w:rPr>
            </w:pPr>
            <w:r>
              <w:rPr>
                <w:rFonts w:ascii="宋体" w:hAnsi="宋体" w:hint="eastAsia"/>
              </w:rPr>
              <w:t>在认购冷静期内，投资者可解除已签订的理财产品购买合同，解除后认购资金解冻。</w:t>
            </w:r>
          </w:p>
          <w:p w:rsidR="00EB23FA" w:rsidRDefault="00C07BAC">
            <w:pPr>
              <w:spacing w:line="360" w:lineRule="atLeast"/>
              <w:ind w:rightChars="15" w:right="31"/>
              <w:rPr>
                <w:rFonts w:ascii="宋体" w:hAnsi="宋体" w:cs="宋体"/>
                <w:kern w:val="0"/>
                <w:szCs w:val="21"/>
              </w:rPr>
            </w:pPr>
            <w:r>
              <w:rPr>
                <w:rFonts w:ascii="宋体" w:hAnsi="宋体" w:hint="eastAsia"/>
              </w:rPr>
              <w:t>认购资金在认购冷静期按活期存款计息，不计入认购本金。</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kern w:val="0"/>
                <w:szCs w:val="21"/>
                <w:u w:val="single"/>
              </w:rPr>
              <w:t>202</w:t>
            </w:r>
            <w:r>
              <w:rPr>
                <w:rFonts w:ascii="宋体" w:hAnsi="宋体" w:hint="eastAsia"/>
                <w:kern w:val="0"/>
                <w:szCs w:val="21"/>
                <w:u w:val="single"/>
              </w:rPr>
              <w:t>6</w:t>
            </w:r>
            <w:r>
              <w:rPr>
                <w:rFonts w:ascii="宋体" w:hAnsi="宋体"/>
                <w:szCs w:val="21"/>
              </w:rPr>
              <w:t>年</w:t>
            </w:r>
            <w:r>
              <w:rPr>
                <w:rFonts w:ascii="宋体" w:hAnsi="宋体" w:hint="eastAsia"/>
                <w:kern w:val="0"/>
                <w:szCs w:val="21"/>
                <w:u w:val="single"/>
              </w:rPr>
              <w:t>1</w:t>
            </w:r>
            <w:r>
              <w:rPr>
                <w:rFonts w:ascii="宋体" w:hAnsi="宋体"/>
                <w:szCs w:val="21"/>
              </w:rPr>
              <w:t>月</w:t>
            </w:r>
            <w:r>
              <w:rPr>
                <w:rFonts w:ascii="宋体" w:hAnsi="宋体" w:hint="eastAsia"/>
                <w:kern w:val="0"/>
                <w:szCs w:val="21"/>
                <w:u w:val="single"/>
              </w:rPr>
              <w:t>9</w:t>
            </w:r>
            <w:r>
              <w:rPr>
                <w:rFonts w:ascii="宋体" w:hAnsi="宋体"/>
                <w:szCs w:val="21"/>
              </w:rPr>
              <w:t>日</w:t>
            </w:r>
            <w:r>
              <w:rPr>
                <w:rFonts w:ascii="宋体" w:hAnsi="宋体" w:hint="eastAsia"/>
                <w:szCs w:val="21"/>
              </w:rPr>
              <w:t>，指管理人对认购人提交的认购申请进行理财产品份额登记的日期。</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kern w:val="0"/>
                <w:szCs w:val="21"/>
                <w:u w:val="single"/>
              </w:rPr>
              <w:t>202</w:t>
            </w:r>
            <w:r>
              <w:rPr>
                <w:rFonts w:ascii="宋体" w:hAnsi="宋体" w:hint="eastAsia"/>
                <w:kern w:val="0"/>
                <w:szCs w:val="21"/>
                <w:u w:val="single"/>
              </w:rPr>
              <w:t>6</w:t>
            </w:r>
            <w:r>
              <w:rPr>
                <w:rFonts w:ascii="宋体" w:hAnsi="宋体"/>
                <w:szCs w:val="21"/>
              </w:rPr>
              <w:t>年</w:t>
            </w:r>
            <w:r>
              <w:rPr>
                <w:rFonts w:ascii="宋体" w:hAnsi="宋体" w:hint="eastAsia"/>
                <w:kern w:val="0"/>
                <w:szCs w:val="21"/>
                <w:u w:val="single"/>
              </w:rPr>
              <w:t>1</w:t>
            </w:r>
            <w:r>
              <w:rPr>
                <w:rFonts w:ascii="宋体" w:hAnsi="宋体"/>
                <w:szCs w:val="21"/>
              </w:rPr>
              <w:t>月</w:t>
            </w:r>
            <w:r>
              <w:rPr>
                <w:rFonts w:ascii="宋体" w:hAnsi="宋体" w:hint="eastAsia"/>
                <w:kern w:val="0"/>
                <w:szCs w:val="21"/>
                <w:u w:val="single"/>
              </w:rPr>
              <w:t>9</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kern w:val="0"/>
                <w:szCs w:val="21"/>
              </w:rPr>
            </w:pPr>
            <w:r>
              <w:rPr>
                <w:rFonts w:ascii="宋体" w:hAnsi="宋体" w:cs="宋体" w:hint="eastAsia"/>
                <w:b/>
                <w:bCs/>
                <w:szCs w:val="21"/>
                <w:u w:val="single"/>
              </w:rPr>
              <w:t>期限377天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1</w:t>
            </w:r>
            <w:r>
              <w:rPr>
                <w:rFonts w:ascii="宋体" w:hAnsi="宋体"/>
                <w:b/>
                <w:bCs/>
                <w:szCs w:val="21"/>
              </w:rPr>
              <w:t>月</w:t>
            </w:r>
            <w:r>
              <w:rPr>
                <w:rFonts w:ascii="宋体" w:hAnsi="宋体" w:cs="宋体" w:hint="eastAsia"/>
                <w:b/>
                <w:bCs/>
                <w:szCs w:val="21"/>
                <w:u w:val="single"/>
              </w:rPr>
              <w:t>21</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u w:val="single"/>
              </w:rPr>
              <w:t>4</w:t>
            </w:r>
            <w:r>
              <w:rPr>
                <w:rFonts w:ascii="宋体" w:hAnsi="宋体" w:hint="eastAsia"/>
                <w:szCs w:val="21"/>
              </w:rPr>
              <w:t>位，小数点</w:t>
            </w:r>
            <w:r>
              <w:rPr>
                <w:rFonts w:ascii="宋体" w:hAnsi="宋体"/>
                <w:szCs w:val="21"/>
                <w:u w:val="single"/>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u w:val="single"/>
              </w:rPr>
              <w:t>1</w:t>
            </w:r>
            <w:r>
              <w:rPr>
                <w:rFonts w:ascii="宋体" w:hAnsi="宋体"/>
                <w:szCs w:val="21"/>
              </w:rPr>
              <w:t>元。</w:t>
            </w:r>
          </w:p>
        </w:tc>
      </w:tr>
      <w:tr w:rsidR="00EB23FA">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产品管理人将在流动性受限资产可出售、可转让或者恢复交易的</w:t>
            </w:r>
            <w:r>
              <w:rPr>
                <w:rFonts w:ascii="宋体" w:hAnsi="宋体" w:cs="宋体" w:hint="eastAsia"/>
                <w:kern w:val="0"/>
                <w:szCs w:val="21"/>
                <w:u w:val="single"/>
              </w:rPr>
              <w:t>10</w:t>
            </w:r>
            <w:r>
              <w:rPr>
                <w:rFonts w:ascii="宋体" w:hAnsi="宋体" w:cs="宋体" w:hint="eastAsia"/>
                <w:kern w:val="0"/>
                <w:szCs w:val="21"/>
              </w:rPr>
              <w:t>个交易日内将理财产品投资比例调整至符合要求，国务院银行保险监督管理机构规定的特殊情况除外。</w:t>
            </w:r>
          </w:p>
          <w:p w:rsidR="00EB23FA" w:rsidRDefault="00C07BAC">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EB23FA">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EB23FA">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0.2%</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0.5%</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kern w:val="0"/>
                <w:szCs w:val="21"/>
                <w:u w:val="single"/>
              </w:rPr>
              <w:t>3.25%</w:t>
            </w:r>
            <w:r>
              <w:rPr>
                <w:rFonts w:ascii="宋体" w:hAnsi="宋体" w:cs="宋体" w:hint="eastAsia"/>
                <w:kern w:val="0"/>
                <w:szCs w:val="21"/>
              </w:rPr>
              <w:t>时，则超过部分收益管理人计提</w:t>
            </w:r>
            <w:r>
              <w:rPr>
                <w:rFonts w:ascii="宋体" w:hAnsi="宋体" w:cs="宋体" w:hint="eastAsia"/>
                <w:kern w:val="0"/>
                <w:szCs w:val="21"/>
                <w:u w:val="single"/>
              </w:rPr>
              <w:t>80%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kern w:val="0"/>
                <w:szCs w:val="21"/>
                <w:u w:val="single"/>
              </w:rPr>
              <w:t>3.25%</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w:t>
            </w:r>
            <w:r>
              <w:rPr>
                <w:rFonts w:ascii="宋体" w:hAnsi="宋体" w:cs="宋体" w:hint="eastAsia"/>
                <w:b/>
                <w:bCs/>
                <w:kern w:val="0"/>
                <w:szCs w:val="21"/>
                <w:u w:val="single"/>
              </w:rPr>
              <w:t>3.25%</w:t>
            </w:r>
            <w:r>
              <w:rPr>
                <w:rFonts w:ascii="宋体" w:hAnsi="宋体" w:cs="宋体" w:hint="eastAsia"/>
                <w:kern w:val="0"/>
                <w:szCs w:val="21"/>
              </w:rPr>
              <w:t>。浮动投资管理费精确到小数点后2位，小数点2位以后舍位。浮动管理费按日计提，在产品到期日支付。</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EB23FA" w:rsidRDefault="00C07BAC">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EB23FA">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rsidP="00B475DB">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w:t>
            </w:r>
            <w:bookmarkStart w:id="7" w:name="_GoBack"/>
            <w:bookmarkEnd w:id="7"/>
            <w:r>
              <w:rPr>
                <w:rFonts w:ascii="宋体" w:hAnsi="宋体" w:cs="宋体" w:hint="eastAsia"/>
                <w:kern w:val="0"/>
                <w:szCs w:val="21"/>
              </w:rPr>
              <w:t>等渠道购买本产品（除另有书面约定外，中高风险、高风险的理财产品，只能在柜台购买）。</w:t>
            </w:r>
          </w:p>
        </w:tc>
      </w:tr>
      <w:tr w:rsidR="00EB23FA">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EB23FA">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EB23FA">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EB23FA" w:rsidRDefault="00C07BAC">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EB23FA">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EB23FA">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EB23FA" w:rsidRDefault="00C07BAC">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EB23FA" w:rsidRDefault="00C07BAC">
      <w:pPr>
        <w:spacing w:line="360" w:lineRule="exact"/>
        <w:ind w:left="-2" w:rightChars="15" w:right="31" w:firstLineChars="200" w:firstLine="422"/>
        <w:rPr>
          <w:rFonts w:ascii="宋体" w:hAnsi="宋体" w:cs="宋体"/>
          <w:bCs/>
          <w:szCs w:val="21"/>
        </w:rPr>
      </w:pPr>
      <w:r>
        <w:rPr>
          <w:rFonts w:ascii="宋体" w:hAnsi="宋体" w:cs="宋体"/>
          <w:b/>
          <w:szCs w:val="21"/>
        </w:rPr>
        <w:t>1</w:t>
      </w:r>
      <w:r>
        <w:rPr>
          <w:rFonts w:ascii="宋体" w:hAnsi="宋体" w:cs="宋体" w:hint="eastAsia"/>
          <w:b/>
          <w:szCs w:val="21"/>
        </w:rPr>
        <w:t>.投资目标</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szCs w:val="21"/>
        </w:rPr>
        <w:t>本产品主要投资固定收益类金融资产，</w:t>
      </w:r>
      <w:r>
        <w:rPr>
          <w:rFonts w:ascii="宋体" w:hAnsi="宋体" w:cs="宋体"/>
          <w:szCs w:val="21"/>
        </w:rPr>
        <w:t>包括非标准化债权类资产</w:t>
      </w:r>
      <w:r>
        <w:rPr>
          <w:rFonts w:ascii="宋体" w:hAnsi="宋体" w:cs="宋体" w:hint="eastAsia"/>
          <w:szCs w:val="21"/>
        </w:rPr>
        <w:t>，产品杠杆率不超200%。本产品将结合宏观经济走势、利率走势的判断，加强信用风险把控，做好固定收益类资产的配置，力争获取超过业绩比较基准的收益。</w:t>
      </w:r>
    </w:p>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2.投资范围</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本理财产品募集的资金投资于以下金融资产和金融工具：</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不限于底层为信托贷款的信托计划、</w:t>
      </w:r>
      <w:r>
        <w:rPr>
          <w:rFonts w:ascii="宋体" w:hAnsi="宋体" w:cs="宋体" w:hint="eastAsia"/>
          <w:szCs w:val="21"/>
        </w:rPr>
        <w:t>同业借款</w:t>
      </w:r>
      <w:r>
        <w:rPr>
          <w:rFonts w:ascii="宋体" w:hAnsi="宋体" w:cs="宋体"/>
          <w:szCs w:val="21"/>
        </w:rPr>
        <w:t>等非标准化债权资产</w:t>
      </w:r>
      <w:r>
        <w:rPr>
          <w:rFonts w:ascii="宋体" w:hAnsi="宋体" w:cs="宋体" w:hint="eastAsia"/>
          <w:szCs w:val="21"/>
        </w:rPr>
        <w:t>。</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szCs w:val="21"/>
        </w:rPr>
        <w:t>权益类金融资产：</w:t>
      </w:r>
      <w:r>
        <w:rPr>
          <w:rFonts w:ascii="宋体" w:hAnsi="宋体" w:cs="宋体" w:hint="eastAsia"/>
          <w:szCs w:val="21"/>
        </w:rPr>
        <w:t>包括但不限于</w:t>
      </w:r>
      <w:proofErr w:type="gramStart"/>
      <w:r>
        <w:rPr>
          <w:rFonts w:ascii="宋体" w:hAnsi="宋体" w:cs="宋体"/>
          <w:szCs w:val="21"/>
        </w:rPr>
        <w:t>权益类公募</w:t>
      </w:r>
      <w:proofErr w:type="gramEnd"/>
      <w:r>
        <w:rPr>
          <w:rFonts w:ascii="宋体" w:hAnsi="宋体" w:cs="宋体"/>
          <w:szCs w:val="21"/>
        </w:rPr>
        <w:t>证券投资基金</w:t>
      </w:r>
      <w:r>
        <w:rPr>
          <w:rFonts w:ascii="宋体" w:hAnsi="宋体" w:cs="宋体" w:hint="eastAsia"/>
          <w:szCs w:val="21"/>
        </w:rPr>
        <w:t>、</w:t>
      </w:r>
      <w:r>
        <w:rPr>
          <w:rFonts w:ascii="宋体" w:hAnsi="宋体" w:cs="宋体"/>
          <w:szCs w:val="21"/>
        </w:rPr>
        <w:t>投资</w:t>
      </w:r>
      <w:r>
        <w:rPr>
          <w:rFonts w:ascii="宋体" w:hAnsi="宋体" w:cs="宋体" w:hint="eastAsia"/>
          <w:szCs w:val="21"/>
        </w:rPr>
        <w:t>于</w:t>
      </w:r>
      <w:proofErr w:type="gramStart"/>
      <w:r>
        <w:rPr>
          <w:rFonts w:ascii="宋体" w:hAnsi="宋体" w:cs="宋体"/>
          <w:szCs w:val="21"/>
        </w:rPr>
        <w:t>权益类公募</w:t>
      </w:r>
      <w:proofErr w:type="gramEnd"/>
      <w:r>
        <w:rPr>
          <w:rFonts w:ascii="宋体" w:hAnsi="宋体" w:cs="宋体"/>
          <w:szCs w:val="21"/>
        </w:rPr>
        <w:t>证券投资基金</w:t>
      </w:r>
      <w:r>
        <w:rPr>
          <w:rFonts w:ascii="宋体" w:hAnsi="宋体" w:cs="宋体" w:hint="eastAsia"/>
          <w:szCs w:val="21"/>
        </w:rPr>
        <w:t>的产品、优先股等符合监管要求的权益类资产。</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（3）衍生品类金融资产：包括但不限于国债期货、利率互换以及投资于上述资产的产品及基金等。</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本理财产品还可投资于其它符合监管要求的金融资产和金融工具，如法律法规或监管机构以后允许投资的其他品种，管理人在履行适当程序后，可以将其纳入投资范围。</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托管人仅对上述列明具体品种的资产标的进行投资监督，若产品管理人拟投资未列出的标的，需于托管人签署补充协议增加投资范围内容后，方可进行投资。</w:t>
      </w:r>
    </w:p>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3.投资比例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EB23FA">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200" w:firstLine="422"/>
              <w:jc w:val="left"/>
              <w:rPr>
                <w:rFonts w:ascii="宋体" w:hAnsi="宋体" w:cs="宋体"/>
                <w:bCs/>
                <w:szCs w:val="21"/>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400" w:firstLine="843"/>
              <w:jc w:val="left"/>
              <w:rPr>
                <w:rFonts w:ascii="宋体" w:hAnsi="宋体" w:cs="宋体"/>
                <w:bCs/>
                <w:szCs w:val="21"/>
              </w:rPr>
            </w:pPr>
            <w:r>
              <w:rPr>
                <w:rFonts w:ascii="宋体" w:hAnsi="宋体" w:hint="eastAsia"/>
                <w:b/>
              </w:rPr>
              <w:t>计划配置比例</w:t>
            </w:r>
          </w:p>
        </w:tc>
      </w:tr>
      <w:tr w:rsidR="00EB23FA">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200" w:firstLine="420"/>
              <w:rPr>
                <w:rFonts w:ascii="宋体" w:hAnsi="宋体" w:cs="宋体"/>
                <w:bCs/>
                <w:szCs w:val="21"/>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jc w:val="center"/>
              <w:rPr>
                <w:rFonts w:ascii="宋体" w:hAnsi="宋体" w:cs="宋体"/>
                <w:bCs/>
                <w:szCs w:val="21"/>
              </w:rPr>
            </w:pPr>
            <w:r>
              <w:rPr>
                <w:rFonts w:ascii="宋体" w:hAnsi="宋体" w:hint="eastAsia"/>
              </w:rPr>
              <w:t>不低于</w:t>
            </w:r>
            <w:r>
              <w:rPr>
                <w:rFonts w:ascii="宋体" w:hAnsi="宋体"/>
              </w:rPr>
              <w:t>80%</w:t>
            </w:r>
          </w:p>
        </w:tc>
      </w:tr>
      <w:tr w:rsidR="00EB23FA">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200" w:firstLine="420"/>
              <w:rPr>
                <w:rFonts w:ascii="宋体" w:hAnsi="宋体" w:cs="宋体"/>
                <w:bCs/>
                <w:szCs w:val="21"/>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jc w:val="center"/>
              <w:rPr>
                <w:rFonts w:ascii="宋体" w:hAnsi="宋体" w:cs="宋体"/>
                <w:bCs/>
                <w:szCs w:val="21"/>
              </w:rPr>
            </w:pPr>
            <w:r>
              <w:rPr>
                <w:rFonts w:ascii="宋体" w:hAnsi="宋体"/>
              </w:rPr>
              <w:t>0%</w:t>
            </w:r>
            <w:r>
              <w:rPr>
                <w:rFonts w:ascii="宋体" w:hAnsi="宋体" w:hint="eastAsia"/>
              </w:rPr>
              <w:t>-20%</w:t>
            </w:r>
          </w:p>
        </w:tc>
      </w:tr>
    </w:tbl>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其中,各类资产配置比例是指其资产市值占理财产品资产总值的比例。</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相关法律法规和监管部门对以上投资范围和配置比例有另行规定的，按照监管最新规定执行。如监管对投资比例无其他明确规定和要求的，由产品管理人与托管人协商确定。</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产品管理人应当自理财产品成立日起六个月内使理财产品的投资组合比例符合约定。</w:t>
      </w:r>
    </w:p>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4.投资限制</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管理人发行的全部理财产品投资单一上市公司发行的股票不得超过该上市公司可流通股票的30%；</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EB23FA" w:rsidRDefault="00C07BAC">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EB23FA" w:rsidRDefault="00C07BAC">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EB23FA" w:rsidRDefault="00C07BAC">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EB23FA" w:rsidRDefault="00C07BAC">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EB23FA" w:rsidRDefault="00C07BAC">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EB23FA" w:rsidRDefault="00C07BAC">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净值为1，认购份额精确到小数点后</w:t>
      </w:r>
      <w:r>
        <w:rPr>
          <w:color w:val="auto"/>
          <w:kern w:val="2"/>
          <w:sz w:val="21"/>
          <w:szCs w:val="21"/>
        </w:rPr>
        <w:t>2位，小数点2位以后</w:t>
      </w:r>
      <w:r>
        <w:rPr>
          <w:rFonts w:hint="eastAsia"/>
          <w:szCs w:val="21"/>
        </w:rPr>
        <w:t>按去尾原则处理</w:t>
      </w:r>
      <w:r>
        <w:rPr>
          <w:rFonts w:hint="eastAsia"/>
          <w:color w:val="auto"/>
          <w:kern w:val="2"/>
          <w:sz w:val="21"/>
          <w:szCs w:val="21"/>
        </w:rPr>
        <w:t>。</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EB23FA" w:rsidRDefault="00C07BAC">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EB23FA" w:rsidRDefault="00C07BAC">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EB23FA" w:rsidRDefault="00C07BAC">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w:t>
      </w:r>
      <w:proofErr w:type="gramStart"/>
      <w:r>
        <w:rPr>
          <w:rFonts w:hint="eastAsia"/>
          <w:color w:val="auto"/>
          <w:kern w:val="2"/>
          <w:sz w:val="21"/>
          <w:szCs w:val="21"/>
        </w:rPr>
        <w:t>资管计划</w:t>
      </w:r>
      <w:proofErr w:type="gramEnd"/>
      <w:r>
        <w:rPr>
          <w:rFonts w:hint="eastAsia"/>
          <w:color w:val="auto"/>
          <w:kern w:val="2"/>
          <w:sz w:val="21"/>
          <w:szCs w:val="21"/>
        </w:rPr>
        <w:t>/基金合同约定暂停估值或无法估值的情形发生，导致理财产品无法估值的；</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（3）占理财产品相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（5）产品管理人、托管人有合理理由认为将影响本理财产品估值的其他情形发生。</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（1）</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（3）</w:t>
      </w:r>
      <w:r>
        <w:rPr>
          <w:color w:val="auto"/>
          <w:kern w:val="2"/>
          <w:sz w:val="21"/>
          <w:szCs w:val="21"/>
        </w:rPr>
        <w:t>按法律法规规定的其他原则处理估值错误。</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EB23FA" w:rsidRDefault="00C07BAC">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EB23FA" w:rsidRDefault="00C07BAC">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EB23FA" w:rsidRDefault="00C07BAC">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EB23FA" w:rsidRDefault="00C07BAC">
      <w:pPr>
        <w:widowControl/>
        <w:spacing w:line="360" w:lineRule="exact"/>
        <w:ind w:left="-2" w:rightChars="15" w:right="31" w:firstLineChars="200" w:firstLine="420"/>
        <w:rPr>
          <w:rFonts w:ascii="宋体" w:hAnsi="宋体" w:cs="宋体"/>
          <w:b/>
          <w:bCs/>
          <w:szCs w:val="21"/>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w:t>
      </w:r>
      <w:r>
        <w:rPr>
          <w:rFonts w:ascii="宋体" w:hAnsi="宋体" w:cs="宋体" w:hint="eastAsia"/>
          <w:szCs w:val="21"/>
        </w:rPr>
        <w:t>20,0</w:t>
      </w:r>
      <w:r>
        <w:rPr>
          <w:rFonts w:ascii="宋体" w:hAnsi="宋体" w:cs="宋体"/>
          <w:szCs w:val="21"/>
        </w:rPr>
        <w:t>00,000.00元，购买产品时份额净值为1.0000元，折算份额为</w:t>
      </w:r>
      <w:r>
        <w:rPr>
          <w:rFonts w:ascii="宋体" w:hAnsi="宋体" w:cs="宋体" w:hint="eastAsia"/>
          <w:szCs w:val="21"/>
        </w:rPr>
        <w:t>20,0</w:t>
      </w:r>
      <w:r>
        <w:rPr>
          <w:rFonts w:ascii="宋体" w:hAnsi="宋体" w:cs="宋体"/>
          <w:szCs w:val="21"/>
        </w:rPr>
        <w:t>00,000.00份。产品到期时，产品份额净值为1.0820元，则兑付给投资者的资金为：</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20,0</w:t>
      </w:r>
      <w:r>
        <w:rPr>
          <w:rFonts w:ascii="宋体" w:hAnsi="宋体" w:cs="宋体"/>
          <w:szCs w:val="21"/>
        </w:rPr>
        <w:t>00,000.00</w:t>
      </w:r>
      <w:r>
        <w:rPr>
          <w:rFonts w:ascii="宋体" w:hAnsi="宋体" w:cs="宋体" w:hint="eastAsia"/>
          <w:szCs w:val="21"/>
        </w:rPr>
        <w:t xml:space="preserve">×1.0820=21,640,000.00（元）。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w:t>
      </w:r>
      <w:r>
        <w:rPr>
          <w:rFonts w:ascii="宋体" w:hAnsi="宋体" w:cs="宋体" w:hint="eastAsia"/>
          <w:szCs w:val="21"/>
        </w:rPr>
        <w:t>20,0</w:t>
      </w:r>
      <w:r>
        <w:rPr>
          <w:rFonts w:ascii="宋体" w:hAnsi="宋体" w:cs="宋体"/>
          <w:szCs w:val="21"/>
        </w:rPr>
        <w:t>00,000.00元，购买产品时份额净值为1.0000 元，折算份额为</w:t>
      </w:r>
      <w:r>
        <w:rPr>
          <w:rFonts w:ascii="宋体" w:hAnsi="宋体" w:cs="宋体" w:hint="eastAsia"/>
          <w:szCs w:val="21"/>
        </w:rPr>
        <w:t>20,0</w:t>
      </w:r>
      <w:r>
        <w:rPr>
          <w:rFonts w:ascii="宋体" w:hAnsi="宋体" w:cs="宋体"/>
          <w:szCs w:val="21"/>
        </w:rPr>
        <w:t xml:space="preserve">00,000.00份。产品到期时，产品份额净值为0.9975元，则兑付给投资者的资金为： </w:t>
      </w:r>
      <w:r>
        <w:rPr>
          <w:rFonts w:ascii="宋体" w:hAnsi="宋体" w:cs="宋体" w:hint="eastAsia"/>
          <w:szCs w:val="21"/>
        </w:rPr>
        <w:t>20,0</w:t>
      </w:r>
      <w:r>
        <w:rPr>
          <w:rFonts w:ascii="宋体" w:hAnsi="宋体" w:cs="宋体"/>
          <w:szCs w:val="21"/>
        </w:rPr>
        <w:t>00,000.00×0.9975=</w:t>
      </w:r>
      <w:r>
        <w:rPr>
          <w:rFonts w:ascii="宋体" w:hAnsi="宋体" w:cs="宋体" w:hint="eastAsia"/>
          <w:szCs w:val="21"/>
        </w:rPr>
        <w:t>1</w:t>
      </w:r>
      <w:r>
        <w:rPr>
          <w:rFonts w:ascii="宋体" w:hAnsi="宋体" w:cs="宋体"/>
          <w:szCs w:val="21"/>
        </w:rPr>
        <w:t>9</w:t>
      </w:r>
      <w:r>
        <w:rPr>
          <w:rFonts w:ascii="宋体" w:hAnsi="宋体" w:cs="宋体" w:hint="eastAsia"/>
          <w:szCs w:val="21"/>
        </w:rPr>
        <w:t>,</w:t>
      </w:r>
      <w:r>
        <w:rPr>
          <w:rFonts w:ascii="宋体" w:hAnsi="宋体" w:cs="宋体"/>
          <w:szCs w:val="21"/>
        </w:rPr>
        <w:t>9</w:t>
      </w:r>
      <w:r>
        <w:rPr>
          <w:rFonts w:ascii="宋体" w:hAnsi="宋体" w:cs="宋体" w:hint="eastAsia"/>
          <w:szCs w:val="21"/>
        </w:rPr>
        <w:t>50,00</w:t>
      </w:r>
      <w:r>
        <w:rPr>
          <w:rFonts w:ascii="宋体" w:hAnsi="宋体" w:cs="宋体"/>
          <w:szCs w:val="21"/>
        </w:rPr>
        <w:t>0.00（元）。</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EB23FA" w:rsidRDefault="00C07BAC">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hint="eastAsia"/>
          <w:szCs w:val="21"/>
        </w:rPr>
        <w:t>20,0</w:t>
      </w:r>
      <w:r>
        <w:rPr>
          <w:rFonts w:ascii="宋体" w:hAnsi="宋体" w:cs="宋体"/>
          <w:szCs w:val="21"/>
        </w:rPr>
        <w:t>00,000.00元，购买产品时份额净值为1.0000元，折算份额为</w:t>
      </w:r>
      <w:r>
        <w:rPr>
          <w:rFonts w:ascii="宋体" w:hAnsi="宋体" w:cs="宋体" w:hint="eastAsia"/>
          <w:szCs w:val="21"/>
        </w:rPr>
        <w:t>20,0</w:t>
      </w:r>
      <w:r>
        <w:rPr>
          <w:rFonts w:ascii="宋体" w:hAnsi="宋体" w:cs="宋体"/>
          <w:szCs w:val="21"/>
        </w:rPr>
        <w:t>00,000.00份，产品提前终止时，产品份额净值为1.0320元，则兑付给投资者的资金为：</w:t>
      </w:r>
      <w:r>
        <w:rPr>
          <w:rFonts w:ascii="宋体" w:hAnsi="宋体" w:cs="宋体" w:hint="eastAsia"/>
          <w:szCs w:val="21"/>
        </w:rPr>
        <w:t>20,0</w:t>
      </w:r>
      <w:r>
        <w:rPr>
          <w:rFonts w:ascii="宋体" w:hAnsi="宋体" w:cs="宋体"/>
          <w:szCs w:val="21"/>
        </w:rPr>
        <w:t>00,000.00×1.0320=</w:t>
      </w:r>
      <w:r>
        <w:rPr>
          <w:rFonts w:ascii="宋体" w:hAnsi="宋体" w:cs="宋体" w:hint="eastAsia"/>
          <w:szCs w:val="21"/>
        </w:rPr>
        <w:t>2</w:t>
      </w:r>
      <w:r>
        <w:rPr>
          <w:rFonts w:ascii="宋体" w:hAnsi="宋体" w:cs="宋体"/>
          <w:szCs w:val="21"/>
        </w:rPr>
        <w:t>0</w:t>
      </w:r>
      <w:r>
        <w:rPr>
          <w:rFonts w:ascii="宋体" w:hAnsi="宋体" w:cs="宋体" w:hint="eastAsia"/>
          <w:szCs w:val="21"/>
        </w:rPr>
        <w:t>,64</w:t>
      </w:r>
      <w:r>
        <w:rPr>
          <w:rFonts w:ascii="宋体" w:hAnsi="宋体" w:cs="宋体"/>
          <w:szCs w:val="21"/>
        </w:rPr>
        <w:t>0</w:t>
      </w:r>
      <w:r>
        <w:rPr>
          <w:rFonts w:ascii="宋体" w:hAnsi="宋体" w:cs="宋体" w:hint="eastAsia"/>
          <w:szCs w:val="21"/>
        </w:rPr>
        <w:t>,00</w:t>
      </w:r>
      <w:r>
        <w:rPr>
          <w:rFonts w:ascii="宋体" w:hAnsi="宋体" w:cs="宋体"/>
          <w:szCs w:val="21"/>
        </w:rPr>
        <w:t>0.00（元）。</w:t>
      </w:r>
    </w:p>
    <w:p w:rsidR="00EB23FA" w:rsidRDefault="00C07BAC">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EB23FA" w:rsidRDefault="00C07BAC">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 xml:space="preserve">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EB23FA" w:rsidRDefault="00C07BAC">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EB23FA" w:rsidRDefault="00C07BAC">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EB23FA" w:rsidRDefault="00C07BAC">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EB23FA">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EB23FA" w:rsidRDefault="00C07BAC">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EB23FA">
        <w:trPr>
          <w:trHeight w:val="752"/>
        </w:trPr>
        <w:tc>
          <w:tcPr>
            <w:tcW w:w="4786" w:type="dxa"/>
            <w:vMerge w:val="restart"/>
            <w:tcBorders>
              <w:top w:val="single" w:sz="4" w:space="0" w:color="auto"/>
              <w:left w:val="single" w:sz="4" w:space="0" w:color="auto"/>
              <w:right w:val="single" w:sz="4" w:space="0" w:color="auto"/>
            </w:tcBorders>
          </w:tcPr>
          <w:p w:rsidR="00EB23FA" w:rsidRDefault="00C07BAC">
            <w:pPr>
              <w:spacing w:line="360" w:lineRule="exact"/>
              <w:ind w:right="420"/>
              <w:rPr>
                <w:rFonts w:ascii="宋体" w:hAnsi="宋体" w:cs="宋体"/>
                <w:szCs w:val="21"/>
              </w:rPr>
            </w:pPr>
            <w:r>
              <w:rPr>
                <w:rFonts w:ascii="宋体" w:hAnsi="宋体" w:cs="宋体" w:hint="eastAsia"/>
                <w:szCs w:val="21"/>
              </w:rPr>
              <w:t>客户类别（由理财经理填写）：</w:t>
            </w:r>
          </w:p>
          <w:p w:rsidR="00EB23FA" w:rsidRDefault="00C07BAC">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EB23FA" w:rsidRDefault="00C07BAC">
            <w:pPr>
              <w:spacing w:line="360" w:lineRule="exact"/>
              <w:ind w:right="420"/>
              <w:rPr>
                <w:rFonts w:ascii="宋体" w:hAnsi="宋体" w:cs="宋体"/>
                <w:b/>
                <w:szCs w:val="21"/>
              </w:rPr>
            </w:pPr>
            <w:r>
              <w:rPr>
                <w:rFonts w:ascii="宋体" w:hAnsi="宋体" w:cs="宋体" w:hint="eastAsia"/>
                <w:b/>
                <w:szCs w:val="21"/>
              </w:rPr>
              <w:t>个人客户栏：</w:t>
            </w:r>
          </w:p>
          <w:p w:rsidR="00EB23FA" w:rsidRDefault="00C07BAC">
            <w:pPr>
              <w:spacing w:line="360" w:lineRule="exact"/>
              <w:ind w:right="420"/>
              <w:rPr>
                <w:rFonts w:ascii="宋体" w:hAnsi="宋体" w:cs="宋体"/>
                <w:szCs w:val="21"/>
              </w:rPr>
            </w:pPr>
            <w:r>
              <w:rPr>
                <w:rFonts w:ascii="宋体" w:hAnsi="宋体" w:cs="宋体" w:hint="eastAsia"/>
                <w:szCs w:val="21"/>
              </w:rPr>
              <w:t>投资者（客户）签名：</w:t>
            </w:r>
          </w:p>
          <w:p w:rsidR="00EB23FA" w:rsidRDefault="00EB23FA">
            <w:pPr>
              <w:spacing w:line="360" w:lineRule="exact"/>
              <w:ind w:right="420"/>
              <w:rPr>
                <w:rFonts w:ascii="宋体" w:hAnsi="宋体" w:cs="宋体"/>
                <w:szCs w:val="21"/>
              </w:rPr>
            </w:pPr>
          </w:p>
          <w:p w:rsidR="00EB23FA" w:rsidRDefault="00EB23FA">
            <w:pPr>
              <w:spacing w:line="360" w:lineRule="exact"/>
              <w:ind w:right="420"/>
              <w:rPr>
                <w:rFonts w:ascii="宋体" w:hAnsi="宋体" w:cs="宋体"/>
                <w:szCs w:val="21"/>
              </w:rPr>
            </w:pPr>
          </w:p>
          <w:p w:rsidR="00EB23FA" w:rsidRDefault="00EB23FA">
            <w:pPr>
              <w:spacing w:line="360" w:lineRule="exact"/>
              <w:ind w:right="420"/>
              <w:rPr>
                <w:rFonts w:ascii="宋体" w:hAnsi="宋体" w:cs="宋体"/>
                <w:szCs w:val="21"/>
              </w:rPr>
            </w:pPr>
          </w:p>
          <w:p w:rsidR="00EB23FA" w:rsidRDefault="00C07BAC">
            <w:pPr>
              <w:spacing w:line="360" w:lineRule="exact"/>
              <w:ind w:right="420"/>
              <w:rPr>
                <w:rFonts w:ascii="宋体" w:hAnsi="宋体" w:cs="宋体"/>
                <w:szCs w:val="21"/>
              </w:rPr>
            </w:pPr>
            <w:r>
              <w:rPr>
                <w:rFonts w:ascii="宋体" w:hAnsi="宋体" w:cs="宋体" w:hint="eastAsia"/>
                <w:szCs w:val="21"/>
              </w:rPr>
              <w:t>日期：      年    月    日</w:t>
            </w:r>
          </w:p>
        </w:tc>
      </w:tr>
      <w:tr w:rsidR="00EB23FA">
        <w:trPr>
          <w:trHeight w:val="751"/>
        </w:trPr>
        <w:tc>
          <w:tcPr>
            <w:tcW w:w="4786" w:type="dxa"/>
            <w:vMerge/>
            <w:tcBorders>
              <w:left w:val="single" w:sz="4" w:space="0" w:color="auto"/>
              <w:bottom w:val="single" w:sz="4" w:space="0" w:color="auto"/>
              <w:right w:val="single" w:sz="4" w:space="0" w:color="auto"/>
            </w:tcBorders>
          </w:tcPr>
          <w:p w:rsidR="00EB23FA" w:rsidRDefault="00EB23FA">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EB23FA" w:rsidRDefault="00C07BAC">
            <w:pPr>
              <w:spacing w:line="360" w:lineRule="exact"/>
              <w:ind w:right="420"/>
              <w:rPr>
                <w:rFonts w:ascii="宋体" w:hAnsi="宋体" w:cs="宋体"/>
                <w:b/>
                <w:szCs w:val="21"/>
              </w:rPr>
            </w:pPr>
            <w:r>
              <w:rPr>
                <w:rFonts w:ascii="宋体" w:hAnsi="宋体" w:cs="宋体" w:hint="eastAsia"/>
                <w:b/>
                <w:szCs w:val="21"/>
              </w:rPr>
              <w:t>机构客户栏：</w:t>
            </w:r>
          </w:p>
          <w:p w:rsidR="00EB23FA" w:rsidRDefault="00C07BAC">
            <w:pPr>
              <w:spacing w:line="360" w:lineRule="exact"/>
              <w:ind w:right="420"/>
              <w:rPr>
                <w:rFonts w:ascii="宋体" w:hAnsi="宋体" w:cs="宋体"/>
                <w:szCs w:val="21"/>
              </w:rPr>
            </w:pPr>
            <w:r>
              <w:rPr>
                <w:rFonts w:ascii="宋体" w:hAnsi="宋体" w:cs="宋体" w:hint="eastAsia"/>
                <w:szCs w:val="21"/>
              </w:rPr>
              <w:t>投资者（客户）盖公章：</w:t>
            </w:r>
          </w:p>
          <w:p w:rsidR="00EB23FA" w:rsidRDefault="00EB23FA">
            <w:pPr>
              <w:spacing w:line="360" w:lineRule="exact"/>
              <w:ind w:right="420"/>
              <w:rPr>
                <w:rFonts w:ascii="宋体" w:hAnsi="宋体" w:cs="宋体"/>
                <w:szCs w:val="21"/>
              </w:rPr>
            </w:pPr>
          </w:p>
          <w:p w:rsidR="00EB23FA" w:rsidRDefault="00EB23FA">
            <w:pPr>
              <w:spacing w:line="360" w:lineRule="exact"/>
              <w:ind w:right="420"/>
              <w:rPr>
                <w:rFonts w:ascii="宋体" w:hAnsi="宋体" w:cs="宋体"/>
                <w:szCs w:val="21"/>
              </w:rPr>
            </w:pPr>
          </w:p>
          <w:p w:rsidR="00EB23FA" w:rsidRDefault="00C07BAC">
            <w:pPr>
              <w:spacing w:line="360" w:lineRule="exact"/>
              <w:ind w:right="420"/>
              <w:rPr>
                <w:rFonts w:ascii="宋体" w:hAnsi="宋体" w:cs="宋体"/>
                <w:szCs w:val="21"/>
              </w:rPr>
            </w:pPr>
            <w:r>
              <w:rPr>
                <w:rFonts w:ascii="宋体" w:hAnsi="宋体" w:cs="宋体" w:hint="eastAsia"/>
                <w:szCs w:val="21"/>
              </w:rPr>
              <w:t>法定代表人或委托代理人签字：</w:t>
            </w:r>
          </w:p>
          <w:p w:rsidR="00EB23FA" w:rsidRDefault="00EB23FA">
            <w:pPr>
              <w:spacing w:line="360" w:lineRule="exact"/>
              <w:ind w:right="420"/>
              <w:rPr>
                <w:rFonts w:ascii="宋体" w:hAnsi="宋体" w:cs="宋体"/>
                <w:szCs w:val="21"/>
              </w:rPr>
            </w:pPr>
          </w:p>
          <w:p w:rsidR="00EB23FA" w:rsidRDefault="00C07BAC">
            <w:pPr>
              <w:spacing w:line="360" w:lineRule="exact"/>
              <w:ind w:right="420"/>
              <w:rPr>
                <w:rFonts w:ascii="宋体" w:hAnsi="宋体" w:cs="宋体"/>
                <w:b/>
                <w:szCs w:val="21"/>
              </w:rPr>
            </w:pPr>
            <w:r>
              <w:rPr>
                <w:rFonts w:ascii="宋体" w:hAnsi="宋体" w:cs="宋体" w:hint="eastAsia"/>
                <w:szCs w:val="21"/>
              </w:rPr>
              <w:t>日期：      年    月    日</w:t>
            </w:r>
          </w:p>
        </w:tc>
      </w:tr>
    </w:tbl>
    <w:p w:rsidR="00EB23FA" w:rsidRDefault="00EB23FA">
      <w:pPr>
        <w:spacing w:line="360" w:lineRule="atLeast"/>
        <w:ind w:firstLineChars="200" w:firstLine="420"/>
      </w:pPr>
    </w:p>
    <w:p w:rsidR="00EB23FA" w:rsidRDefault="00EB23FA"/>
    <w:sectPr w:rsidR="00EB23FA">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75" w:rsidRDefault="00EC3B75" w:rsidP="00F80166">
      <w:r>
        <w:separator/>
      </w:r>
    </w:p>
  </w:endnote>
  <w:endnote w:type="continuationSeparator" w:id="0">
    <w:p w:rsidR="00EC3B75" w:rsidRDefault="00EC3B75" w:rsidP="00F8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75" w:rsidRDefault="00EC3B75" w:rsidP="00F80166">
      <w:r>
        <w:separator/>
      </w:r>
    </w:p>
  </w:footnote>
  <w:footnote w:type="continuationSeparator" w:id="0">
    <w:p w:rsidR="00EC3B75" w:rsidRDefault="00EC3B75" w:rsidP="00F8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74F9F"/>
    <w:rsid w:val="005D7C0C"/>
    <w:rsid w:val="00675ADD"/>
    <w:rsid w:val="00773E5B"/>
    <w:rsid w:val="00854DE8"/>
    <w:rsid w:val="00883CE7"/>
    <w:rsid w:val="008D2F51"/>
    <w:rsid w:val="008E071C"/>
    <w:rsid w:val="009718FD"/>
    <w:rsid w:val="00983A00"/>
    <w:rsid w:val="00A02753"/>
    <w:rsid w:val="00B152B7"/>
    <w:rsid w:val="00B475DB"/>
    <w:rsid w:val="00BC40A1"/>
    <w:rsid w:val="00C07BAC"/>
    <w:rsid w:val="00D21292"/>
    <w:rsid w:val="00E753D9"/>
    <w:rsid w:val="00EB23FA"/>
    <w:rsid w:val="00EC3B75"/>
    <w:rsid w:val="00F80166"/>
    <w:rsid w:val="01081B3E"/>
    <w:rsid w:val="01140643"/>
    <w:rsid w:val="015654C1"/>
    <w:rsid w:val="01EE47BC"/>
    <w:rsid w:val="037709BE"/>
    <w:rsid w:val="03970EF3"/>
    <w:rsid w:val="053174FE"/>
    <w:rsid w:val="053B1213"/>
    <w:rsid w:val="05D32A1C"/>
    <w:rsid w:val="06743A25"/>
    <w:rsid w:val="06890D40"/>
    <w:rsid w:val="078E5270"/>
    <w:rsid w:val="08EE6CBF"/>
    <w:rsid w:val="0BBA767F"/>
    <w:rsid w:val="0BC25FDA"/>
    <w:rsid w:val="0CEB6D41"/>
    <w:rsid w:val="0D257E20"/>
    <w:rsid w:val="0D872B07"/>
    <w:rsid w:val="0DF471F4"/>
    <w:rsid w:val="0E0C6E19"/>
    <w:rsid w:val="0E2322C1"/>
    <w:rsid w:val="0EEC778C"/>
    <w:rsid w:val="0F4D2CA8"/>
    <w:rsid w:val="0FD61908"/>
    <w:rsid w:val="10393A4B"/>
    <w:rsid w:val="114B7377"/>
    <w:rsid w:val="114D3A73"/>
    <w:rsid w:val="11D4394C"/>
    <w:rsid w:val="123816A1"/>
    <w:rsid w:val="13315A2F"/>
    <w:rsid w:val="134F44BD"/>
    <w:rsid w:val="13DB629F"/>
    <w:rsid w:val="142139F6"/>
    <w:rsid w:val="145246A6"/>
    <w:rsid w:val="14F45A07"/>
    <w:rsid w:val="15C6316A"/>
    <w:rsid w:val="15D259A9"/>
    <w:rsid w:val="16833FFF"/>
    <w:rsid w:val="180D0283"/>
    <w:rsid w:val="1935295C"/>
    <w:rsid w:val="1A690088"/>
    <w:rsid w:val="1A92644B"/>
    <w:rsid w:val="1A9E6F69"/>
    <w:rsid w:val="1B193EA5"/>
    <w:rsid w:val="1B65127F"/>
    <w:rsid w:val="1B7E21A9"/>
    <w:rsid w:val="1D9D29C5"/>
    <w:rsid w:val="20604E6B"/>
    <w:rsid w:val="20E43777"/>
    <w:rsid w:val="21536DBC"/>
    <w:rsid w:val="21A458C1"/>
    <w:rsid w:val="22811A2C"/>
    <w:rsid w:val="23620D1A"/>
    <w:rsid w:val="24346E74"/>
    <w:rsid w:val="25B76FF0"/>
    <w:rsid w:val="267A1062"/>
    <w:rsid w:val="27377E01"/>
    <w:rsid w:val="277C0C48"/>
    <w:rsid w:val="280433E6"/>
    <w:rsid w:val="292C35ED"/>
    <w:rsid w:val="294F5552"/>
    <w:rsid w:val="29502FD4"/>
    <w:rsid w:val="2A2E4BC0"/>
    <w:rsid w:val="2ACC4D63"/>
    <w:rsid w:val="2B162D28"/>
    <w:rsid w:val="2B5A212F"/>
    <w:rsid w:val="2BA647AD"/>
    <w:rsid w:val="2BAB0C35"/>
    <w:rsid w:val="2CCA1765"/>
    <w:rsid w:val="2CF7260B"/>
    <w:rsid w:val="2D624224"/>
    <w:rsid w:val="2DDB0EC9"/>
    <w:rsid w:val="2F3017FB"/>
    <w:rsid w:val="2FBC28E4"/>
    <w:rsid w:val="2FC82895"/>
    <w:rsid w:val="30B377D6"/>
    <w:rsid w:val="31200D24"/>
    <w:rsid w:val="31A671A5"/>
    <w:rsid w:val="31BB4D3B"/>
    <w:rsid w:val="32BC0C23"/>
    <w:rsid w:val="32EF7C1D"/>
    <w:rsid w:val="36C7606F"/>
    <w:rsid w:val="37B90E7A"/>
    <w:rsid w:val="395C5CA8"/>
    <w:rsid w:val="3AE12123"/>
    <w:rsid w:val="3B984845"/>
    <w:rsid w:val="3C7957BA"/>
    <w:rsid w:val="3D4424C8"/>
    <w:rsid w:val="3D6200C1"/>
    <w:rsid w:val="40AA0E51"/>
    <w:rsid w:val="419868AD"/>
    <w:rsid w:val="422B5A9B"/>
    <w:rsid w:val="42C07614"/>
    <w:rsid w:val="430123EF"/>
    <w:rsid w:val="432A1241"/>
    <w:rsid w:val="432B1AFF"/>
    <w:rsid w:val="435B5696"/>
    <w:rsid w:val="4391099B"/>
    <w:rsid w:val="44005783"/>
    <w:rsid w:val="4431169D"/>
    <w:rsid w:val="44DE2C50"/>
    <w:rsid w:val="45EF19CA"/>
    <w:rsid w:val="472E322D"/>
    <w:rsid w:val="475C711D"/>
    <w:rsid w:val="48A956B7"/>
    <w:rsid w:val="49787CE2"/>
    <w:rsid w:val="49D302DE"/>
    <w:rsid w:val="4B9A1F15"/>
    <w:rsid w:val="4BF06BEA"/>
    <w:rsid w:val="4F4E7DA7"/>
    <w:rsid w:val="50D64FD6"/>
    <w:rsid w:val="51846ACD"/>
    <w:rsid w:val="53C27326"/>
    <w:rsid w:val="53DC46A3"/>
    <w:rsid w:val="54BE32BA"/>
    <w:rsid w:val="558639B9"/>
    <w:rsid w:val="561A56F7"/>
    <w:rsid w:val="57511C1E"/>
    <w:rsid w:val="57844525"/>
    <w:rsid w:val="587B15C6"/>
    <w:rsid w:val="588B4BB5"/>
    <w:rsid w:val="5A6A0E67"/>
    <w:rsid w:val="5AAA3A4D"/>
    <w:rsid w:val="5C12599F"/>
    <w:rsid w:val="5D100641"/>
    <w:rsid w:val="5D793BEB"/>
    <w:rsid w:val="5DA60BA7"/>
    <w:rsid w:val="5F141414"/>
    <w:rsid w:val="5FE46263"/>
    <w:rsid w:val="60B37BB5"/>
    <w:rsid w:val="616B1562"/>
    <w:rsid w:val="61B326EC"/>
    <w:rsid w:val="61DB091C"/>
    <w:rsid w:val="630C3978"/>
    <w:rsid w:val="64966CE0"/>
    <w:rsid w:val="65757626"/>
    <w:rsid w:val="65E54639"/>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1895</Words>
  <Characters>10806</Characters>
  <Application>Microsoft Office Word</Application>
  <DocSecurity>0</DocSecurity>
  <Lines>90</Lines>
  <Paragraphs>25</Paragraphs>
  <ScaleCrop>false</ScaleCrop>
  <Company>P R C</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5</cp:revision>
  <cp:lastPrinted>2023-11-22T09:09:00Z</cp:lastPrinted>
  <dcterms:created xsi:type="dcterms:W3CDTF">2020-10-15T05:53:00Z</dcterms:created>
  <dcterms:modified xsi:type="dcterms:W3CDTF">2026-01-05T08:45:00Z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