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ind w:firstLine="1"/>
        <w:jc w:val="center"/>
        <w:outlineLvl w:val="0"/>
        <w:rPr>
          <w:rFonts w:ascii="宋体" w:hAnsi="宋体"/>
          <w:b/>
          <w:sz w:val="32"/>
          <w:szCs w:val="32"/>
        </w:rPr>
      </w:pPr>
      <w:r>
        <w:rPr>
          <w:rFonts w:hint="eastAsia" w:ascii="宋体" w:hAnsi="宋体"/>
          <w:b/>
          <w:sz w:val="32"/>
          <w:szCs w:val="32"/>
        </w:rPr>
        <w:t>湖南银行人民币理财产品风险揭示书</w:t>
      </w:r>
    </w:p>
    <w:p>
      <w:pPr>
        <w:adjustRightInd w:val="0"/>
        <w:snapToGrid w:val="0"/>
        <w:spacing w:line="360" w:lineRule="exact"/>
        <w:jc w:val="center"/>
        <w:rPr>
          <w:rFonts w:ascii="仿宋" w:hAnsi="仿宋" w:eastAsia="仿宋" w:cs="宋体"/>
          <w:b/>
          <w:bCs/>
          <w:sz w:val="30"/>
          <w:szCs w:val="30"/>
        </w:rPr>
      </w:pPr>
      <w:r>
        <w:rPr>
          <w:rFonts w:ascii="仿宋" w:hAnsi="仿宋" w:eastAsia="仿宋" w:cs="宋体"/>
          <w:b/>
          <w:bCs/>
          <w:sz w:val="30"/>
          <w:szCs w:val="30"/>
        </w:rPr>
        <w:t>理财非存款</w:t>
      </w:r>
      <w:r>
        <w:rPr>
          <w:rFonts w:hint="eastAsia" w:ascii="仿宋" w:hAnsi="仿宋" w:eastAsia="仿宋" w:cs="宋体"/>
          <w:b/>
          <w:bCs/>
          <w:sz w:val="30"/>
          <w:szCs w:val="30"/>
        </w:rPr>
        <w:t>、</w:t>
      </w:r>
      <w:r>
        <w:rPr>
          <w:rFonts w:ascii="仿宋" w:hAnsi="仿宋" w:eastAsia="仿宋" w:cs="宋体"/>
          <w:b/>
          <w:bCs/>
          <w:sz w:val="30"/>
          <w:szCs w:val="30"/>
        </w:rPr>
        <w:t>产品有风险</w:t>
      </w:r>
      <w:r>
        <w:rPr>
          <w:rFonts w:hint="eastAsia" w:ascii="仿宋" w:hAnsi="仿宋" w:eastAsia="仿宋" w:cs="宋体"/>
          <w:b/>
          <w:bCs/>
          <w:sz w:val="30"/>
          <w:szCs w:val="30"/>
        </w:rPr>
        <w:t>、</w:t>
      </w:r>
      <w:r>
        <w:rPr>
          <w:rFonts w:ascii="仿宋" w:hAnsi="仿宋" w:eastAsia="仿宋" w:cs="宋体"/>
          <w:b/>
          <w:bCs/>
          <w:sz w:val="30"/>
          <w:szCs w:val="30"/>
        </w:rPr>
        <w:t>投资须谨慎</w:t>
      </w:r>
    </w:p>
    <w:p>
      <w:pPr>
        <w:adjustRightInd w:val="0"/>
        <w:snapToGrid w:val="0"/>
        <w:spacing w:line="360" w:lineRule="exact"/>
        <w:jc w:val="center"/>
        <w:rPr>
          <w:rFonts w:ascii="宋体" w:hAnsi="宋体" w:cs="宋体"/>
          <w:sz w:val="28"/>
          <w:szCs w:val="28"/>
        </w:rPr>
      </w:pPr>
      <w:r>
        <w:rPr>
          <w:rFonts w:hint="eastAsia" w:ascii="宋体" w:hAnsi="宋体" w:cs="宋体"/>
          <w:b/>
          <w:bCs/>
          <w:sz w:val="28"/>
          <w:szCs w:val="28"/>
        </w:rPr>
        <w:t>（非保本浮动收益型）</w:t>
      </w:r>
    </w:p>
    <w:p>
      <w:pPr>
        <w:ind w:right="31" w:rightChars="15"/>
        <w:jc w:val="left"/>
        <w:rPr>
          <w:rFonts w:ascii="宋体" w:hAnsi="宋体" w:cs="宋体"/>
          <w:sz w:val="22"/>
          <w:szCs w:val="20"/>
        </w:rPr>
      </w:pPr>
      <w:r>
        <w:rPr>
          <w:rFonts w:ascii="宋体" w:hAnsi="宋体" w:cs="宋体"/>
          <w:sz w:val="22"/>
          <w:szCs w:val="20"/>
        </w:rPr>
        <w:t>尊敬的</w:t>
      </w:r>
      <w:r>
        <w:rPr>
          <w:rFonts w:hint="eastAsia" w:ascii="宋体" w:hAnsi="宋体" w:cs="宋体"/>
          <w:sz w:val="22"/>
          <w:szCs w:val="20"/>
        </w:rPr>
        <w:t>客户：</w:t>
      </w:r>
    </w:p>
    <w:p>
      <w:pPr>
        <w:ind w:left="-2" w:right="31" w:rightChars="15" w:firstLine="440" w:firstLineChars="200"/>
        <w:jc w:val="left"/>
        <w:rPr>
          <w:rFonts w:ascii="宋体" w:hAnsi="宋体" w:cs="宋体"/>
          <w:sz w:val="22"/>
          <w:szCs w:val="20"/>
        </w:rPr>
      </w:pPr>
      <w:r>
        <w:rPr>
          <w:rFonts w:hint="eastAsia" w:ascii="宋体" w:hAnsi="宋体"/>
          <w:kern w:val="0"/>
          <w:sz w:val="22"/>
        </w:rPr>
        <w:t>理财资金投资运作中，可能会面临多种风险因素，根据中国银行保险监督管理委员会相关监管规定的要求，请在您选择购买本理财产品前</w:t>
      </w:r>
      <w:r>
        <w:rPr>
          <w:rFonts w:hint="eastAsia" w:ascii="宋体" w:hAnsi="宋体" w:cs="宋体"/>
          <w:sz w:val="22"/>
          <w:szCs w:val="20"/>
        </w:rPr>
        <w:t>，</w:t>
      </w:r>
      <w:r>
        <w:rPr>
          <w:rFonts w:hint="eastAsia" w:ascii="宋体" w:hAnsi="宋体" w:cs="宋体"/>
          <w:sz w:val="22"/>
        </w:rPr>
        <w:t>请</w:t>
      </w:r>
      <w:r>
        <w:rPr>
          <w:rFonts w:hint="eastAsia" w:ascii="宋体" w:hAnsi="宋体" w:cs="宋体"/>
          <w:sz w:val="22"/>
          <w:szCs w:val="20"/>
        </w:rPr>
        <w:t>仔细阅读以下重要内容，充分认识以下风险因素：</w:t>
      </w:r>
    </w:p>
    <w:p>
      <w:pPr>
        <w:ind w:left="-2" w:right="31" w:rightChars="15" w:firstLine="402" w:firstLineChars="200"/>
        <w:jc w:val="left"/>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pPr>
        <w:ind w:left="-2" w:right="31" w:rightChars="15" w:firstLine="442" w:firstLineChars="200"/>
        <w:jc w:val="left"/>
        <w:rPr>
          <w:rFonts w:ascii="宋体" w:hAnsi="宋体" w:cs="宋体"/>
          <w:b/>
          <w:bCs/>
          <w:sz w:val="22"/>
          <w:szCs w:val="20"/>
        </w:rPr>
      </w:pPr>
      <w:r>
        <w:rPr>
          <w:rFonts w:hint="eastAsia" w:ascii="宋体" w:hAnsi="宋体" w:cs="宋体"/>
          <w:b/>
          <w:sz w:val="22"/>
          <w:szCs w:val="20"/>
        </w:rPr>
        <w:t>一、本金及理财收益风险：</w:t>
      </w:r>
      <w:r>
        <w:rPr>
          <w:rFonts w:hint="eastAsia" w:ascii="宋体" w:hAnsi="宋体"/>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hint="eastAsia" w:ascii="宋体" w:hAnsi="宋体" w:eastAsia="宋体" w:cs="宋体"/>
          <w:b/>
          <w:bCs/>
          <w:kern w:val="2"/>
          <w:sz w:val="20"/>
          <w:szCs w:val="20"/>
          <w:lang w:val="zh-CN" w:eastAsia="zh-CN" w:bidi="ar-SA"/>
        </w:rPr>
        <w:t>由此产生的本金及理财收益损失的风险由投资者自行承担。在发生资产违约且无法正常处置等最不利情况下投资者将可能损失全部本金。</w:t>
      </w:r>
    </w:p>
    <w:p>
      <w:pPr>
        <w:ind w:left="-2" w:right="31" w:rightChars="15" w:firstLine="442" w:firstLineChars="200"/>
        <w:jc w:val="left"/>
        <w:rPr>
          <w:sz w:val="22"/>
          <w:szCs w:val="20"/>
        </w:rPr>
      </w:pPr>
      <w:r>
        <w:rPr>
          <w:rFonts w:hint="eastAsia" w:ascii="宋体" w:hAnsi="宋体" w:cs="宋体"/>
          <w:b/>
          <w:bCs/>
          <w:sz w:val="22"/>
          <w:szCs w:val="20"/>
        </w:rPr>
        <w:t>二、</w:t>
      </w:r>
      <w:r>
        <w:rPr>
          <w:rFonts w:hint="eastAsia" w:ascii="宋体" w:hAnsi="宋体" w:cs="宋体"/>
          <w:b/>
          <w:sz w:val="22"/>
          <w:szCs w:val="20"/>
        </w:rPr>
        <w:t>信用风险</w:t>
      </w:r>
      <w:r>
        <w:rPr>
          <w:rFonts w:hint="eastAsia" w:ascii="宋体" w:hAnsi="宋体" w:cs="宋体"/>
          <w:sz w:val="22"/>
          <w:szCs w:val="20"/>
        </w:rPr>
        <w:t>：</w:t>
      </w:r>
      <w:r>
        <w:rPr>
          <w:rFonts w:hint="eastAsia" w:ascii="宋体" w:hAnsi="宋体"/>
          <w:kern w:val="0"/>
          <w:sz w:val="22"/>
        </w:rPr>
        <w:t>投资者面临本产品所投资的资产或资产组合项下义务人可能出现信用违约情形、则投资者可能面临本金和收益遭受部分甚至全部损失的风险。本理财产品运作过程中，投资管理人将密切关注投资组合信用风险变化，根据债务人等信用等级的调整及时调整投资组合，尽最大努力管理信用风险。</w:t>
      </w:r>
    </w:p>
    <w:p>
      <w:pPr>
        <w:ind w:left="-2" w:right="31" w:rightChars="15" w:firstLine="442" w:firstLineChars="200"/>
        <w:jc w:val="left"/>
        <w:rPr>
          <w:rFonts w:hint="eastAsia" w:ascii="宋体" w:hAnsi="宋体"/>
          <w:kern w:val="0"/>
          <w:sz w:val="22"/>
        </w:rPr>
      </w:pPr>
      <w:r>
        <w:rPr>
          <w:rFonts w:hint="eastAsia" w:ascii="宋体" w:hAnsi="宋体" w:cs="宋体"/>
          <w:b/>
          <w:sz w:val="22"/>
          <w:szCs w:val="20"/>
        </w:rPr>
        <w:t>三、市场风险：</w:t>
      </w:r>
      <w:r>
        <w:rPr>
          <w:rFonts w:hint="eastAsia" w:ascii="宋体" w:hAnsi="宋体"/>
          <w:kern w:val="0"/>
          <w:sz w:val="22"/>
        </w:rPr>
        <w:t>证券市场价格受到经济因素、政治因素、投资心理和交易制度等各种因素的影响，可能导致本理财产品资产收益水平变化，产生风险，主要包括：</w:t>
      </w:r>
    </w:p>
    <w:p>
      <w:pPr>
        <w:ind w:left="-2" w:right="31" w:rightChars="15" w:firstLine="440" w:firstLineChars="200"/>
        <w:jc w:val="left"/>
        <w:rPr>
          <w:rFonts w:hint="eastAsia" w:ascii="宋体" w:hAnsi="宋体"/>
          <w:kern w:val="0"/>
          <w:sz w:val="22"/>
        </w:rPr>
      </w:pPr>
      <w:r>
        <w:rPr>
          <w:rFonts w:hint="eastAsia" w:ascii="宋体" w:hAnsi="宋体"/>
          <w:kern w:val="0"/>
          <w:sz w:val="22"/>
        </w:rPr>
        <w:t>1.政策风险：因国家宏观政策（如货币政策、财政政策、行业政策、地区发展政策和监管政策等）发生变化，导致市场价格波动而产生风险，从而对理财产品收益产生影响。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2.经济周期风险：随经济运行的周期性变化，证券市场的收益水平也呈周期性变化，从而影响理财产品的收益水平，对理财产品收益产生影响。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3.利率风险：金融市场利率的波动会导致证券市场价格和收益率的变动，从而对理财产品收益产生影响。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4.购买力风险：如果发生通货膨胀，则投资于证券所获得的收益可能会被通货膨胀抵消，从而对理财产品收益产生影响。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5.汇率风险：本理财产品在实际投资运作过程中，由于汇率市场出现巨大变化造成本理财产品所投资产价格发生波动，从而影响理财产品投资收益的，投资者的本金和收益可能遭受部分或全部的损失。</w:t>
      </w:r>
    </w:p>
    <w:p>
      <w:pPr>
        <w:ind w:left="-2" w:right="31" w:rightChars="15" w:firstLine="442" w:firstLineChars="200"/>
        <w:jc w:val="left"/>
        <w:rPr>
          <w:rFonts w:hint="eastAsia" w:ascii="宋体" w:hAnsi="宋体" w:eastAsia="宋体" w:cs="宋体"/>
          <w:kern w:val="2"/>
          <w:sz w:val="22"/>
          <w:szCs w:val="20"/>
          <w:lang w:val="en-US" w:eastAsia="zh-CN" w:bidi="ar-SA"/>
        </w:rPr>
      </w:pPr>
      <w:r>
        <w:rPr>
          <w:rFonts w:hint="eastAsia" w:ascii="宋体" w:hAnsi="宋体" w:cs="宋体"/>
          <w:b/>
          <w:sz w:val="22"/>
          <w:szCs w:val="20"/>
        </w:rPr>
        <w:t>四、管理人风险：</w:t>
      </w:r>
      <w:r>
        <w:rPr>
          <w:rFonts w:hint="eastAsia" w:ascii="宋体" w:hAnsi="宋体"/>
          <w:kern w:val="0"/>
          <w:sz w:val="22"/>
          <w:lang w:val="en-US" w:eastAsia="zh-CN"/>
        </w:rPr>
        <w:t>由于管理人（包括本理财产品的投资管理人、所投资的信托计划、资管计划、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资管计划/基金的受托人（如有）、管理人（如有）、相关投资顾问（如有）等及其内部作业、人员管理及系统操作不当或失误，或违背相关合同约定、未严格执行风险控制措施、处理事务不当等，可能导致本理财产品项下的理财资金遭受损失。</w:t>
      </w:r>
    </w:p>
    <w:p>
      <w:pPr>
        <w:ind w:left="-2" w:right="31" w:rightChars="15" w:firstLine="442" w:firstLineChars="200"/>
        <w:jc w:val="left"/>
        <w:rPr>
          <w:rFonts w:hint="eastAsia" w:ascii="宋体" w:hAnsi="宋体" w:cs="宋体"/>
          <w:b/>
          <w:sz w:val="22"/>
          <w:szCs w:val="20"/>
        </w:rPr>
      </w:pPr>
      <w:r>
        <w:rPr>
          <w:rFonts w:hint="eastAsia" w:ascii="宋体" w:hAnsi="宋体" w:cs="宋体"/>
          <w:b/>
          <w:sz w:val="22"/>
          <w:szCs w:val="20"/>
        </w:rPr>
        <w:t>五、流动性风险：</w:t>
      </w:r>
    </w:p>
    <w:p>
      <w:pPr>
        <w:ind w:left="-2" w:right="31" w:rightChars="15" w:firstLine="442" w:firstLineChars="200"/>
        <w:jc w:val="left"/>
        <w:rPr>
          <w:rFonts w:hint="eastAsia" w:ascii="宋体" w:hAnsi="宋体" w:cs="宋体" w:eastAsiaTheme="minorEastAsia"/>
          <w:sz w:val="22"/>
          <w:szCs w:val="22"/>
          <w:lang w:eastAsia="zh-CN"/>
        </w:rPr>
      </w:pPr>
      <w:r>
        <w:rPr>
          <w:rFonts w:hint="eastAsia" w:ascii="宋体" w:hAnsi="宋体" w:cs="宋体"/>
          <w:b/>
          <w:sz w:val="22"/>
          <w:szCs w:val="20"/>
        </w:rPr>
        <w:t>主要拟投资市场、资产的流动性风险：</w:t>
      </w:r>
      <w:r>
        <w:rPr>
          <w:rFonts w:hint="eastAsia" w:ascii="宋体" w:hAnsi="宋体"/>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hint="eastAsia" w:ascii="宋体" w:hAnsi="宋体" w:eastAsia="宋体" w:cs="宋体"/>
          <w:b/>
          <w:bCs/>
          <w:kern w:val="2"/>
          <w:sz w:val="20"/>
          <w:szCs w:val="20"/>
          <w:lang w:val="zh-CN" w:eastAsia="zh-CN" w:bidi="ar-SA"/>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hint="eastAsia" w:ascii="宋体" w:hAnsi="宋体"/>
          <w:kern w:val="0"/>
          <w:sz w:val="22"/>
        </w:rPr>
        <w:t>以上均可能影响本理财产品投资收益、影响投资者赎回安排，甚至使本理财产品遭受损失；</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六、认购失败风险：</w:t>
      </w:r>
      <w:r>
        <w:rPr>
          <w:rFonts w:hint="eastAsia" w:ascii="宋体" w:hAnsi="宋体"/>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pPr>
        <w:ind w:left="-2" w:right="31" w:rightChars="15" w:firstLine="442" w:firstLineChars="200"/>
        <w:jc w:val="left"/>
        <w:rPr>
          <w:rFonts w:ascii="宋体" w:hAnsi="宋体" w:cs="宋体"/>
          <w:b/>
          <w:sz w:val="22"/>
          <w:szCs w:val="20"/>
        </w:rPr>
      </w:pPr>
      <w:r>
        <w:rPr>
          <w:rFonts w:hint="eastAsia" w:ascii="宋体" w:hAnsi="宋体" w:cs="宋体"/>
          <w:b/>
          <w:sz w:val="22"/>
          <w:szCs w:val="20"/>
        </w:rPr>
        <w:t>七、提前终止风险：</w:t>
      </w:r>
      <w:r>
        <w:rPr>
          <w:rFonts w:hint="eastAsia" w:ascii="宋体" w:hAnsi="宋体" w:cs="宋体"/>
          <w:sz w:val="22"/>
          <w:szCs w:val="20"/>
        </w:rPr>
        <w:t>为</w:t>
      </w:r>
      <w:r>
        <w:rPr>
          <w:rFonts w:hint="eastAsia" w:ascii="宋体" w:hAnsi="宋体"/>
          <w:kern w:val="0"/>
          <w:sz w:val="22"/>
        </w:rPr>
        <w:t>保护投资人利益，在本产品存续期间湖南银行可根据市场变化情况提前终止本产品。投资人可能无法实现期初预期的全部收益，并将面临提前兑付后再投资的风险。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八、抵质押物变现风险：</w:t>
      </w:r>
      <w:r>
        <w:rPr>
          <w:rFonts w:hint="eastAsia" w:ascii="宋体" w:hAnsi="宋体"/>
          <w:kern w:val="0"/>
          <w:sz w:val="22"/>
        </w:rPr>
        <w:t>本产品所投资的部分资产或资产组合可能设定抵质押等担保品，如发生该部分资产项下义务人违约等情形，将对抵质押物进行处置。如抵质押物等不能变现或不能及时、足额变现，或抵质押物的变现价值不足以覆盖该部分资产本金，则投资人可能面临本金和收益遭受部门甚至全部损失、本金和收益延迟支付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九、延期风险：</w:t>
      </w:r>
      <w:r>
        <w:rPr>
          <w:rFonts w:hint="eastAsia" w:ascii="宋体" w:hAnsi="宋体"/>
          <w:kern w:val="0"/>
          <w:sz w:val="22"/>
        </w:rPr>
        <w:t>如因理财产品所投资的标的资产因市场风险、流动性风险、信用风险等原因造成理财产品不能按时还本付息，理财期限将相应延长。</w:t>
      </w:r>
      <w:r>
        <w:rPr>
          <w:rFonts w:hint="eastAsia" w:ascii="宋体" w:hAnsi="宋体" w:eastAsia="宋体" w:cs="宋体"/>
          <w:b/>
          <w:bCs/>
          <w:kern w:val="2"/>
          <w:sz w:val="20"/>
          <w:szCs w:val="20"/>
          <w:lang w:val="zh-CN" w:eastAsia="zh-CN" w:bidi="ar-SA"/>
        </w:rPr>
        <w:t>如管理人延长理财产品期限，将通过理财产品产品说明书信息披露章节约定的信息披露方式向投资者披露。</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十、政策风险：</w:t>
      </w:r>
      <w:r>
        <w:rPr>
          <w:rFonts w:hint="eastAsia" w:ascii="宋体" w:hAnsi="宋体"/>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pPr>
        <w:ind w:left="-2" w:right="31" w:rightChars="15" w:firstLine="442" w:firstLineChars="200"/>
        <w:jc w:val="left"/>
        <w:rPr>
          <w:rFonts w:ascii="宋体" w:hAnsi="宋体" w:cs="宋体"/>
          <w:bCs/>
          <w:sz w:val="22"/>
          <w:szCs w:val="20"/>
        </w:rPr>
      </w:pPr>
      <w:r>
        <w:rPr>
          <w:rFonts w:hint="eastAsia" w:ascii="宋体" w:hAnsi="宋体" w:cs="宋体"/>
          <w:b/>
          <w:sz w:val="22"/>
          <w:szCs w:val="20"/>
        </w:rPr>
        <w:t>十一、税务风险：</w:t>
      </w:r>
      <w:r>
        <w:rPr>
          <w:rFonts w:hint="eastAsia" w:ascii="宋体" w:hAnsi="宋体"/>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十二、信息传递风险：</w:t>
      </w:r>
      <w:r>
        <w:rPr>
          <w:rFonts w:hint="eastAsia" w:ascii="宋体" w:hAnsi="宋体"/>
          <w:kern w:val="0"/>
          <w:sz w:val="22"/>
        </w:rPr>
        <w:t>湖南银行按照有关信息披露条款的约定，发布理财产品的信息与公告。投资者可根据信息披露条款的约定主动、及时登陆到湖南银行官方网站（</w:t>
      </w:r>
      <w:r>
        <w:rPr>
          <w:rFonts w:hint="eastAsia" w:ascii="宋体" w:hAnsi="宋体"/>
          <w:kern w:val="0"/>
          <w:sz w:val="22"/>
          <w:lang w:val="en-US" w:eastAsia="zh-CN"/>
        </w:rPr>
        <w:t>www.hunan-bank.com</w:t>
      </w:r>
      <w:r>
        <w:rPr>
          <w:rFonts w:hint="eastAsia" w:ascii="宋体" w:hAnsi="宋体"/>
          <w:kern w:val="0"/>
          <w:sz w:val="22"/>
        </w:rPr>
        <w:t>)、营业网点获取相关信息。若投资者未及时查询，或由于通讯故障、系统故障以及其他不可抗力等因素的影响使得投资者无法及时了解产品信息，由此而产生的责任和风险由客户自行承担。若投资者预留的有效联系方式变更但未及时告知湖南银行,致使在需要联系投资者时无法及时联系并可能会由此影响投资者的投资决策,由此而产生的责任和风险由客户自行承担。</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十三、不可抗力风险：</w:t>
      </w:r>
      <w:r>
        <w:rPr>
          <w:rFonts w:hint="eastAsia" w:ascii="宋体" w:hAnsi="宋体"/>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pPr>
        <w:ind w:left="-2" w:right="31" w:rightChars="15" w:firstLine="442" w:firstLineChars="200"/>
        <w:jc w:val="left"/>
        <w:rPr>
          <w:rFonts w:hint="eastAsia" w:ascii="宋体" w:hAnsi="宋体"/>
          <w:kern w:val="0"/>
          <w:sz w:val="22"/>
          <w:lang w:val="en-US" w:eastAsia="zh-CN"/>
        </w:rPr>
      </w:pPr>
      <w:r>
        <w:rPr>
          <w:rFonts w:hint="eastAsia" w:ascii="宋体" w:hAnsi="宋体" w:cs="宋体"/>
          <w:b/>
          <w:kern w:val="2"/>
          <w:sz w:val="22"/>
          <w:szCs w:val="20"/>
          <w:lang w:val="en-US" w:eastAsia="zh-CN" w:bidi="ar-SA"/>
        </w:rPr>
        <w:t>十四、</w:t>
      </w:r>
      <w:r>
        <w:rPr>
          <w:rFonts w:hint="eastAsia" w:ascii="宋体" w:hAnsi="宋体" w:eastAsia="宋体" w:cs="宋体"/>
          <w:b/>
          <w:kern w:val="2"/>
          <w:sz w:val="22"/>
          <w:szCs w:val="20"/>
          <w:lang w:val="en-US" w:eastAsia="zh-CN" w:bidi="ar-SA"/>
        </w:rPr>
        <w:t>估值风险：</w:t>
      </w:r>
      <w:r>
        <w:rPr>
          <w:rFonts w:hint="eastAsia" w:ascii="宋体" w:hAnsi="宋体"/>
          <w:kern w:val="0"/>
          <w:sz w:val="22"/>
          <w:lang w:val="en-US" w:eastAsia="zh-CN"/>
        </w:rPr>
        <w:t>本理财产品按《产品说明书》的估值方法进行估值，</w:t>
      </w:r>
      <w:r>
        <w:rPr>
          <w:rFonts w:hint="eastAsia" w:ascii="宋体" w:hAnsi="宋体" w:eastAsia="宋体" w:cs="宋体"/>
          <w:b/>
          <w:bCs/>
          <w:kern w:val="2"/>
          <w:sz w:val="20"/>
          <w:szCs w:val="20"/>
          <w:lang w:val="zh-CN" w:eastAsia="zh-CN" w:bidi="ar-SA"/>
        </w:rPr>
        <w:t>理财产品估值与实际变现价值可能发生偏离，投资者应知晓该风险。</w:t>
      </w:r>
      <w:r>
        <w:rPr>
          <w:rFonts w:hint="eastAsia" w:ascii="宋体" w:hAnsi="宋体"/>
          <w:kern w:val="0"/>
          <w:sz w:val="22"/>
          <w:lang w:val="en-US" w:eastAsia="zh-CN"/>
        </w:rPr>
        <w:t>管理人估值仅作为参考，管理人不承担第三方再次使用该估值引发的其他风险。</w:t>
      </w:r>
    </w:p>
    <w:p>
      <w:pPr>
        <w:ind w:left="-2" w:right="31" w:rightChars="15" w:firstLine="442" w:firstLineChars="200"/>
        <w:jc w:val="left"/>
        <w:rPr>
          <w:rFonts w:hint="eastAsia" w:ascii="宋体" w:hAnsi="宋体" w:eastAsia="宋体" w:cs="宋体"/>
          <w:b/>
          <w:bCs/>
          <w:kern w:val="2"/>
          <w:sz w:val="20"/>
          <w:szCs w:val="20"/>
          <w:lang w:val="zh-CN" w:eastAsia="zh-CN" w:bidi="ar-SA"/>
        </w:rPr>
      </w:pPr>
      <w:r>
        <w:rPr>
          <w:rFonts w:hint="eastAsia" w:ascii="宋体" w:hAnsi="宋体" w:cs="宋体"/>
          <w:b/>
          <w:kern w:val="2"/>
          <w:sz w:val="22"/>
          <w:szCs w:val="20"/>
          <w:lang w:val="en-US" w:eastAsia="zh-CN" w:bidi="ar-SA"/>
        </w:rPr>
        <w:t>十五、</w:t>
      </w:r>
      <w:r>
        <w:rPr>
          <w:rFonts w:hint="eastAsia" w:ascii="宋体" w:hAnsi="宋体" w:eastAsia="宋体" w:cs="宋体"/>
          <w:b/>
          <w:kern w:val="2"/>
          <w:sz w:val="22"/>
          <w:szCs w:val="20"/>
          <w:lang w:val="en-US" w:eastAsia="zh-CN" w:bidi="ar-SA"/>
        </w:rPr>
        <w:t>单方修改《产品说明书》的风险：</w:t>
      </w:r>
      <w:r>
        <w:rPr>
          <w:rFonts w:hint="eastAsia" w:ascii="宋体" w:hAnsi="宋体" w:eastAsia="宋体" w:cs="Times New Roman"/>
          <w:kern w:val="0"/>
          <w:sz w:val="22"/>
          <w:szCs w:val="22"/>
          <w:lang w:val="en-US" w:eastAsia="zh-CN" w:bidi="ar-SA"/>
        </w:rPr>
        <w:t>如出于维持产品正常运营的需要且在不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hint="eastAsia" w:ascii="宋体" w:hAnsi="宋体" w:eastAsia="宋体" w:cs="宋体"/>
          <w:b/>
          <w:bCs/>
          <w:kern w:val="2"/>
          <w:sz w:val="20"/>
          <w:szCs w:val="20"/>
          <w:lang w:val="en-US" w:eastAsia="zh-CN" w:bidi="ar-SA"/>
        </w:rPr>
        <w:t>逾期未赎回的视为同意。</w:t>
      </w:r>
    </w:p>
    <w:p>
      <w:pPr>
        <w:ind w:left="-2" w:right="31" w:rightChars="15" w:firstLine="442" w:firstLineChars="200"/>
        <w:jc w:val="left"/>
        <w:rPr>
          <w:rFonts w:hint="eastAsia" w:ascii="宋体" w:hAnsi="宋体" w:eastAsia="宋体" w:cs="Times New Roman"/>
          <w:kern w:val="0"/>
          <w:sz w:val="22"/>
          <w:szCs w:val="22"/>
          <w:lang w:val="en-US" w:eastAsia="zh-CN" w:bidi="ar-SA"/>
        </w:rPr>
      </w:pPr>
      <w:r>
        <w:rPr>
          <w:rFonts w:hint="eastAsia" w:ascii="宋体" w:hAnsi="宋体" w:cs="宋体"/>
          <w:b/>
          <w:kern w:val="2"/>
          <w:sz w:val="22"/>
          <w:szCs w:val="20"/>
          <w:lang w:val="en-US" w:eastAsia="zh-CN" w:bidi="ar-SA"/>
        </w:rPr>
        <w:t>十六、</w:t>
      </w:r>
      <w:r>
        <w:rPr>
          <w:rFonts w:hint="eastAsia" w:ascii="宋体" w:hAnsi="宋体" w:eastAsia="宋体" w:cs="宋体"/>
          <w:b/>
          <w:kern w:val="2"/>
          <w:sz w:val="22"/>
          <w:szCs w:val="20"/>
          <w:lang w:val="en-US" w:eastAsia="zh-CN" w:bidi="ar-SA"/>
        </w:rPr>
        <w:t>设置建仓期的风险：</w:t>
      </w:r>
      <w:r>
        <w:rPr>
          <w:rFonts w:hint="eastAsia" w:ascii="宋体" w:hAnsi="宋体" w:eastAsia="宋体" w:cs="Times New Roman"/>
          <w:kern w:val="0"/>
          <w:sz w:val="22"/>
          <w:szCs w:val="22"/>
          <w:lang w:val="en-US" w:eastAsia="zh-CN" w:bidi="ar-SA"/>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pPr>
        <w:pStyle w:val="22"/>
        <w:numPr>
          <w:ilvl w:val="0"/>
          <w:numId w:val="0"/>
        </w:numPr>
        <w:tabs>
          <w:tab w:val="left" w:pos="522"/>
        </w:tabs>
        <w:spacing w:before="7" w:line="302" w:lineRule="auto"/>
        <w:ind w:leftChars="200" w:right="31" w:rightChars="15"/>
        <w:jc w:val="both"/>
        <w:rPr>
          <w:rFonts w:ascii="Times New Roman" w:hAnsi="Times New Roman" w:cs="Times New Roman"/>
          <w:b/>
          <w:bCs/>
          <w:sz w:val="22"/>
          <w:szCs w:val="20"/>
        </w:rPr>
      </w:pPr>
      <w:r>
        <w:rPr>
          <w:rFonts w:hint="eastAsia"/>
          <w:b/>
          <w:bCs/>
          <w:spacing w:val="-2"/>
          <w:sz w:val="22"/>
          <w:lang w:eastAsia="zh-CN"/>
        </w:rPr>
        <w:t>十七、</w:t>
      </w:r>
      <w:r>
        <w:rPr>
          <w:rFonts w:hint="eastAsia"/>
          <w:b/>
          <w:bCs/>
          <w:spacing w:val="-2"/>
          <w:sz w:val="22"/>
        </w:rPr>
        <w:t>特定投资标的风险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1、投资于债券的特殊风险</w:t>
      </w:r>
    </w:p>
    <w:p>
      <w:pPr>
        <w:ind w:left="-2" w:right="31" w:rightChars="15" w:firstLine="440" w:firstLineChars="200"/>
        <w:jc w:val="left"/>
        <w:rPr>
          <w:rFonts w:hint="eastAsia" w:ascii="宋体" w:hAnsi="宋体"/>
          <w:kern w:val="0"/>
          <w:sz w:val="22"/>
        </w:rPr>
      </w:pPr>
      <w:r>
        <w:rPr>
          <w:rFonts w:hint="eastAsia" w:ascii="宋体" w:hAnsi="宋体"/>
          <w:kern w:val="0"/>
          <w:sz w:val="22"/>
        </w:rPr>
        <w:t>A 市场平均利率水平变化导致债券价格变化的风险。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债券市场不同期限、不同类属债券之间的利差变动导致相应期限和类属债券价格变化的风险。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pPr>
        <w:ind w:left="-2" w:right="31" w:rightChars="15" w:firstLine="440" w:firstLineChars="200"/>
        <w:jc w:val="left"/>
        <w:rPr>
          <w:rFonts w:hint="eastAsia" w:ascii="宋体" w:hAnsi="宋体"/>
          <w:kern w:val="0"/>
          <w:sz w:val="22"/>
        </w:rPr>
      </w:pPr>
      <w:r>
        <w:rPr>
          <w:rFonts w:hint="eastAsia" w:ascii="宋体" w:hAnsi="宋体"/>
          <w:kern w:val="0"/>
          <w:sz w:val="22"/>
        </w:rPr>
        <w:t>D 债券发行人、担保人出现违约、拒绝支付到期本息，或由于债券发行人、担保人信用质量降低导致债券价格下降及无法收回投资收益的风险。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E </w:t>
      </w:r>
      <w:r>
        <w:rPr>
          <w:rFonts w:hint="eastAsia" w:ascii="宋体" w:hAnsi="宋体" w:eastAsia="宋体" w:cs="Times New Roman"/>
          <w:kern w:val="0"/>
          <w:sz w:val="22"/>
          <w:szCs w:val="22"/>
          <w:lang w:val="en-US" w:eastAsia="zh-CN" w:bidi="ar-SA"/>
        </w:rPr>
        <w:t>与信用等级较高的债券相比，投资于信用等级较低的债券将因为发行主体的偿还债务能力略低、受不利经济环境的影响更大以及违约风险更高等原因而面临更大的投资风险。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kern w:val="0"/>
          <w:sz w:val="22"/>
        </w:rPr>
        <w:t xml:space="preserve">F </w:t>
      </w:r>
      <w:r>
        <w:rPr>
          <w:rFonts w:hint="eastAsia" w:ascii="宋体" w:hAnsi="宋体" w:eastAsia="宋体" w:cs="Times New Roman"/>
          <w:kern w:val="0"/>
          <w:sz w:val="22"/>
          <w:szCs w:val="22"/>
          <w:lang w:val="en-US" w:eastAsia="zh-CN" w:bidi="ar-SA"/>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G </w:t>
      </w:r>
      <w:r>
        <w:rPr>
          <w:rFonts w:hint="eastAsia" w:ascii="宋体" w:hAnsi="宋体" w:eastAsia="宋体" w:cs="Times New Roman"/>
          <w:kern w:val="0"/>
          <w:sz w:val="22"/>
          <w:szCs w:val="22"/>
          <w:lang w:val="en-US" w:eastAsia="zh-CN" w:bidi="ar-SA"/>
        </w:rPr>
        <w:t>相对于其他公开发行的债券，非公开定向债务融资工具、非公开发行公司债的流动性较差，其流通和转让均存在一定的限制，因此投资于非公开定向债务融资工具将面临较大的投资风险。</w:t>
      </w:r>
    </w:p>
    <w:p>
      <w:pPr>
        <w:ind w:left="-2" w:right="31" w:rightChars="15" w:firstLine="440" w:firstLineChars="200"/>
        <w:jc w:val="left"/>
      </w:pPr>
      <w:r>
        <w:rPr>
          <w:rFonts w:hint="eastAsia" w:ascii="宋体" w:hAnsi="宋体"/>
          <w:kern w:val="0"/>
          <w:sz w:val="22"/>
        </w:rPr>
        <w:t xml:space="preserve">H </w:t>
      </w:r>
      <w:r>
        <w:rPr>
          <w:rFonts w:hint="eastAsia" w:ascii="宋体" w:hAnsi="宋体" w:eastAsia="宋体" w:cs="Times New Roman"/>
          <w:kern w:val="0"/>
          <w:sz w:val="22"/>
          <w:szCs w:val="22"/>
          <w:lang w:val="en-US" w:eastAsia="zh-CN" w:bidi="ar-SA"/>
        </w:rPr>
        <w:t>债券回购风险：债券投资可能会运用正回购来增加组合杠杆，较高的债券正回购比例可能增 加组合的利率风险。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2、投资于资产支持证券/票据的特殊风险</w:t>
      </w:r>
    </w:p>
    <w:p>
      <w:pPr>
        <w:ind w:left="-2" w:right="31" w:rightChars="15" w:firstLine="440" w:firstLineChars="200"/>
        <w:jc w:val="left"/>
        <w:rPr>
          <w:rFonts w:hint="eastAsia" w:ascii="宋体" w:hAnsi="宋体"/>
          <w:kern w:val="0"/>
          <w:sz w:val="22"/>
        </w:rPr>
      </w:pPr>
      <w:r>
        <w:rPr>
          <w:rFonts w:hint="eastAsia" w:ascii="宋体" w:hAnsi="宋体"/>
          <w:kern w:val="0"/>
          <w:sz w:val="22"/>
          <w:lang w:val="en-US" w:eastAsia="zh-CN"/>
        </w:rPr>
        <w:t>资产支持证券/票据的投资收益取决于资产支持证券/票据项下的基础资产情况，如该基础资产发生原始权益人破产或基础资产项下现金流未能及时完整取得等情况，资产支持证券/票据的收益将受到影响，且资产支持证券/票据的流动性较低，由此本理财产品财产可能遭受损失，理财产品投资者可能无法如期获得投资收益。</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3、如本产品进行债权投资的，则本产品可能面临如下风险：</w:t>
      </w:r>
    </w:p>
    <w:p>
      <w:pPr>
        <w:ind w:left="-2" w:right="31" w:rightChars="15" w:firstLine="440" w:firstLineChars="200"/>
        <w:jc w:val="left"/>
        <w:rPr>
          <w:rFonts w:hint="eastAsia" w:ascii="宋体" w:hAnsi="宋体"/>
          <w:kern w:val="0"/>
          <w:sz w:val="22"/>
        </w:rPr>
      </w:pPr>
      <w:r>
        <w:rPr>
          <w:rFonts w:hint="eastAsia" w:ascii="宋体" w:hAnsi="宋体"/>
          <w:kern w:val="0"/>
          <w:sz w:val="22"/>
        </w:rPr>
        <w:t>A 融资方的信用风险：由于还款履约能力发生变化，融资方在相关债权到期后，未能偿还或逾期偿还相关融资本息所导致本理财产品财产损失的风险。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ind w:left="-2" w:right="31" w:rightChars="15" w:firstLine="440" w:firstLineChars="200"/>
        <w:jc w:val="left"/>
        <w:rPr>
          <w:rFonts w:hint="eastAsia" w:ascii="宋体" w:hAnsi="宋体"/>
          <w:kern w:val="0"/>
          <w:sz w:val="22"/>
        </w:rPr>
      </w:pPr>
      <w:r>
        <w:rPr>
          <w:rFonts w:hint="eastAsia" w:ascii="宋体" w:hAnsi="宋体"/>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ind w:left="-2" w:right="31" w:rightChars="15" w:firstLine="440" w:firstLineChars="200"/>
        <w:jc w:val="left"/>
        <w:rPr>
          <w:sz w:val="20"/>
          <w:szCs w:val="20"/>
        </w:rPr>
      </w:pPr>
      <w:r>
        <w:rPr>
          <w:rFonts w:hint="eastAsia" w:ascii="宋体" w:hAnsi="宋体"/>
          <w:kern w:val="0"/>
          <w:sz w:val="22"/>
        </w:rPr>
        <w:t>E 如本理财产品财产管理运用中存在保证担保安排的，若由于保证人因任何原因未履行保证义务的，则可能给本理财产品带来风险。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4、投资于相关信托受益权、资产管理计划的计划份额时，可能面临的受托人/资产管理人风险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资管计划产品的财产损失，进而引起本理财产品的损失。信托产品/资管计划产品可能出现因为某种原因而被提前终止的 情况，由此可能会造成对本理财产品投资收益的影响。因本理财产品的管理人无法对所投资的 信托产品/资管计划产品进行投资决策，或相关受托人/资产管理人可能不执行或不能及时、准确地执行本理财产品管理人的指令，或未经本理财产品同意将本理财产品交付的资金运用于违 反相关信托合同或资产管理合同约定的投资范围，导致本计划项下委托财产的损失等风险。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en-US" w:eastAsia="zh-CN" w:bidi="ar-SA"/>
        </w:rPr>
        <w:t>本理财产品产品类型为非保本浮动收益类，本理财产品期限</w:t>
      </w:r>
      <w:r>
        <w:rPr>
          <w:rFonts w:hint="eastAsia" w:ascii="宋体" w:hAnsi="宋体" w:cs="宋体"/>
          <w:b/>
          <w:bCs/>
          <w:kern w:val="2"/>
          <w:sz w:val="20"/>
          <w:szCs w:val="20"/>
          <w:lang w:val="en-US" w:eastAsia="zh-CN" w:bidi="ar-SA"/>
        </w:rPr>
        <w:t>377</w:t>
      </w:r>
      <w:bookmarkStart w:id="0" w:name="_GoBack"/>
      <w:bookmarkEnd w:id="0"/>
      <w:r>
        <w:rPr>
          <w:rFonts w:hint="eastAsia" w:ascii="宋体" w:hAnsi="宋体" w:eastAsia="宋体" w:cs="宋体"/>
          <w:b/>
          <w:bCs/>
          <w:kern w:val="2"/>
          <w:sz w:val="20"/>
          <w:szCs w:val="20"/>
          <w:lang w:val="en-US" w:eastAsia="zh-CN" w:bidi="ar-SA"/>
        </w:rPr>
        <w:t>天，但符合规定条件时，湖南银行有权提前终止本理财产品。本理财产品风险评级为中</w:t>
      </w:r>
      <w:r>
        <w:rPr>
          <w:rFonts w:hint="eastAsia" w:ascii="宋体" w:hAnsi="宋体" w:cs="宋体"/>
          <w:b/>
          <w:bCs/>
          <w:kern w:val="2"/>
          <w:sz w:val="20"/>
          <w:szCs w:val="20"/>
          <w:lang w:val="en-US" w:eastAsia="zh-CN" w:bidi="ar-SA"/>
        </w:rPr>
        <w:t>等</w:t>
      </w:r>
      <w:r>
        <w:rPr>
          <w:rFonts w:hint="eastAsia" w:ascii="宋体" w:hAnsi="宋体" w:eastAsia="宋体" w:cs="宋体"/>
          <w:b/>
          <w:bCs/>
          <w:kern w:val="2"/>
          <w:sz w:val="20"/>
          <w:szCs w:val="20"/>
          <w:lang w:val="en-US" w:eastAsia="zh-CN" w:bidi="ar-SA"/>
        </w:rPr>
        <w:t>风险(R</w:t>
      </w:r>
      <w:r>
        <w:rPr>
          <w:rFonts w:hint="eastAsia" w:ascii="宋体" w:hAnsi="宋体" w:cs="宋体"/>
          <w:b/>
          <w:bCs/>
          <w:kern w:val="2"/>
          <w:sz w:val="20"/>
          <w:szCs w:val="20"/>
          <w:lang w:val="en-US" w:eastAsia="zh-CN" w:bidi="ar-SA"/>
        </w:rPr>
        <w:t>3</w:t>
      </w:r>
      <w:r>
        <w:rPr>
          <w:rFonts w:hint="eastAsia" w:ascii="宋体" w:hAnsi="宋体" w:eastAsia="宋体" w:cs="宋体"/>
          <w:b/>
          <w:bCs/>
          <w:kern w:val="2"/>
          <w:sz w:val="20"/>
          <w:szCs w:val="20"/>
          <w:lang w:val="en-US" w:eastAsia="zh-CN" w:bidi="ar-SA"/>
        </w:rPr>
        <w:t>)，适合购买客户为风险承受能力为</w:t>
      </w:r>
      <w:r>
        <w:rPr>
          <w:rFonts w:hint="eastAsia" w:ascii="宋体" w:hAnsi="宋体" w:cs="宋体"/>
          <w:b/>
          <w:bCs/>
          <w:kern w:val="2"/>
          <w:sz w:val="20"/>
          <w:szCs w:val="20"/>
          <w:lang w:val="en-US" w:eastAsia="zh-CN" w:bidi="ar-SA"/>
        </w:rPr>
        <w:t>稳健</w:t>
      </w:r>
      <w:r>
        <w:rPr>
          <w:rFonts w:hint="eastAsia" w:ascii="宋体" w:hAnsi="宋体" w:eastAsia="宋体" w:cs="宋体"/>
          <w:b/>
          <w:bCs/>
          <w:kern w:val="2"/>
          <w:sz w:val="20"/>
          <w:szCs w:val="20"/>
          <w:lang w:val="en-US" w:eastAsia="zh-CN" w:bidi="ar-SA"/>
        </w:rPr>
        <w:t>型及以上的客户。本风险分级为湖南银行自行评定，仅供参考，湖南银行并不对前述风险分级结果的准确性做出任何形式的保证。如影响您风险承受能力的因素发生变化，请及时告知我行并重新进行风险承受能力评估。超过一年未进行风险承受能力评估的，再次购买理财产品时，投资者应当根据监管要求在湖南银行网点或网上银行完后风险承受能力评估。</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本理财产品不保障本金且不保证理财收益，投资者的本金可能会因市场变动而蒙受重大损失，在市场最不利的情况下投资者将可能损失全部本金，投资者应充分认识投资风险，谨慎投资。</w:t>
      </w:r>
    </w:p>
    <w:p>
      <w:pPr>
        <w:kinsoku w:val="0"/>
        <w:overflowPunct w:val="0"/>
        <w:autoSpaceDE w:val="0"/>
        <w:autoSpaceDN w:val="0"/>
        <w:adjustRightInd w:val="0"/>
        <w:snapToGrid w:val="0"/>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示例：若投资者购买本理财产品，理财产品本金为1</w:t>
      </w:r>
      <w:r>
        <w:rPr>
          <w:rFonts w:hint="eastAsia" w:asciiTheme="minorEastAsia" w:hAnsiTheme="minorEastAsia" w:eastAsiaTheme="minorEastAsia" w:cstheme="minorEastAsia"/>
          <w:sz w:val="22"/>
          <w:szCs w:val="22"/>
          <w:lang w:val="en-US" w:eastAsia="zh-CN"/>
        </w:rPr>
        <w:t>,0</w:t>
      </w:r>
      <w:r>
        <w:rPr>
          <w:rFonts w:hint="eastAsia" w:asciiTheme="minorEastAsia" w:hAnsiTheme="minorEastAsia" w:eastAsiaTheme="minorEastAsia" w:cstheme="minorEastAsia"/>
          <w:sz w:val="22"/>
          <w:szCs w:val="22"/>
          <w:lang w:val="zh-CN"/>
        </w:rPr>
        <w:t>00</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lang w:val="zh-CN"/>
        </w:rPr>
        <w:t>000元，在资产组合项下资产全部亏损的最不利情况下，理财产品1</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lang w:val="zh-CN"/>
        </w:rPr>
        <w:t>00</w:t>
      </w:r>
      <w:r>
        <w:rPr>
          <w:rFonts w:hint="eastAsia" w:asciiTheme="minorEastAsia" w:hAnsiTheme="minorEastAsia" w:eastAsiaTheme="minorEastAsia" w:cstheme="minorEastAsia"/>
          <w:sz w:val="22"/>
          <w:szCs w:val="22"/>
          <w:lang w:val="en-US" w:eastAsia="zh-CN"/>
        </w:rPr>
        <w:t>0,</w:t>
      </w:r>
      <w:r>
        <w:rPr>
          <w:rFonts w:hint="eastAsia" w:asciiTheme="minorEastAsia" w:hAnsiTheme="minorEastAsia" w:eastAsiaTheme="minorEastAsia" w:cstheme="minorEastAsia"/>
          <w:sz w:val="22"/>
          <w:szCs w:val="22"/>
          <w:lang w:val="zh-CN"/>
        </w:rPr>
        <w:t>000元本金将全部损失。</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本《风险揭示书》所揭示事项仅为列举性质，未能详尽列明投资者参与本理财产品所面临的全部风险和可能导致投资者损失的所有因素。在您签署本理财产品的理财产品销售协议书前，应当仔细阅读本风险揭示书、产品说明书和客户权益须知的全部内容，同时向我行了解本理财产品的其他相关信息，并自己独立作出是否申购本理财产品的决定。您签署本揭示书、理财产品销售协议书等相关文书并将资金委托给我行运作是您真实的意思表示，您已知悉并理解理财产品的全部风险，并自愿承担由此带来的一切后果。本风险揭示书及相应理财产品销售协议书、理财产品说明书、客户权益须知共同构成双方理财合同的有效组成部分。</w:t>
      </w:r>
    </w:p>
    <w:p>
      <w:pPr>
        <w:kinsoku w:val="0"/>
        <w:overflowPunct w:val="0"/>
        <w:autoSpaceDE w:val="0"/>
        <w:autoSpaceDN w:val="0"/>
        <w:adjustRightInd w:val="0"/>
        <w:snapToGrid w:val="0"/>
        <w:spacing w:line="360" w:lineRule="exact"/>
        <w:ind w:firstLine="440" w:firstLineChars="20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风险揭示方：</w:t>
      </w:r>
      <w:r>
        <w:rPr>
          <w:rFonts w:hint="eastAsia" w:asciiTheme="minorEastAsia" w:hAnsiTheme="minorEastAsia" w:eastAsiaTheme="minorEastAsia" w:cstheme="minorEastAsia"/>
          <w:kern w:val="0"/>
          <w:sz w:val="22"/>
          <w:szCs w:val="22"/>
          <w:lang w:eastAsia="zh-CN"/>
        </w:rPr>
        <w:t>湖南银行</w:t>
      </w:r>
      <w:r>
        <w:rPr>
          <w:rFonts w:hint="eastAsia" w:asciiTheme="minorEastAsia" w:hAnsiTheme="minorEastAsia" w:eastAsiaTheme="minorEastAsia" w:cstheme="minorEastAsia"/>
          <w:kern w:val="0"/>
          <w:sz w:val="22"/>
          <w:szCs w:val="22"/>
        </w:rPr>
        <w:t>股份有限公司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（个人客户适用）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jc w:val="center"/>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Pr>
                <w:rFonts w:ascii="宋体" w:hAnsi="宋体" w:cs="宋体"/>
                <w:color w:val="000000"/>
                <w:spacing w:val="10"/>
                <w:szCs w:val="21"/>
              </w:rPr>
              <w:t>本人确认</w:t>
            </w:r>
            <w:r>
              <w:rPr>
                <w:rFonts w:hint="eastAsia" w:ascii="宋体" w:hAnsi="宋体" w:cs="宋体"/>
                <w:color w:val="000000"/>
                <w:spacing w:val="10"/>
                <w:szCs w:val="21"/>
              </w:rPr>
              <w:t>湖南银行</w:t>
            </w:r>
            <w:r>
              <w:rPr>
                <w:rFonts w:ascii="宋体" w:hAnsi="宋体" w:cs="宋体"/>
                <w:color w:val="000000"/>
                <w:spacing w:val="10"/>
                <w:szCs w:val="21"/>
              </w:rPr>
              <w:t>相关业务人员对于理财产品销售文件中相关的权利和义务内容已向本人说明</w:t>
            </w:r>
            <w:r>
              <w:rPr>
                <w:rFonts w:hint="eastAsia" w:ascii="宋体" w:hAnsi="宋体" w:cs="宋体"/>
                <w:color w:val="000000"/>
                <w:spacing w:val="10"/>
                <w:szCs w:val="21"/>
              </w:rPr>
              <w:t>，本人已完全理解并自愿接受</w:t>
            </w:r>
            <w:r>
              <w:rPr>
                <w:rFonts w:ascii="宋体" w:hAnsi="宋体" w:cs="宋体"/>
                <w:color w:val="000000"/>
                <w:spacing w:val="10"/>
                <w:szCs w:val="21"/>
              </w:rPr>
              <w:t>。</w:t>
            </w:r>
          </w:p>
          <w:p>
            <w:pPr>
              <w:snapToGrid w:val="0"/>
              <w:ind w:left="-2" w:right="46" w:rightChars="22" w:firstLine="460" w:firstLineChars="200"/>
              <w:jc w:val="center"/>
              <w:rPr>
                <w:rFonts w:ascii="宋体" w:hAnsi="宋体" w:cs="宋体"/>
                <w:color w:val="000000"/>
                <w:spacing w:val="10"/>
                <w:szCs w:val="21"/>
              </w:rPr>
            </w:pPr>
            <w:r>
              <w:rPr>
                <w:rFonts w:hint="eastAsia" w:ascii="宋体" w:hAnsi="宋体" w:cs="宋体"/>
                <w:color w:val="000000"/>
                <w:spacing w:val="10"/>
                <w:szCs w:val="21"/>
              </w:rPr>
              <w:t>根据湖南银行个人理财客户风险评估结果，本人风险承受能力属于（</w:t>
            </w:r>
            <w:r>
              <w:rPr>
                <w:rFonts w:ascii="宋体" w:hAnsi="宋体" w:cs="宋体"/>
                <w:b/>
                <w:color w:val="000000"/>
                <w:spacing w:val="10"/>
                <w:szCs w:val="21"/>
              </w:rPr>
              <w:t>由客户填写</w:t>
            </w:r>
            <w:r>
              <w:rPr>
                <w:rFonts w:ascii="宋体" w:hAnsi="宋体" w:cs="宋体"/>
                <w:color w:val="000000"/>
                <w:spacing w:val="10"/>
                <w:szCs w:val="21"/>
              </w:rPr>
              <w:t>：</w:t>
            </w:r>
            <w:r>
              <w:rPr>
                <w:rFonts w:hint="eastAsia" w:ascii="宋体" w:hAnsi="宋体" w:cs="宋体"/>
                <w:szCs w:val="21"/>
              </w:rPr>
              <w:t>□</w:t>
            </w:r>
            <w:r>
              <w:rPr>
                <w:rFonts w:hint="eastAsia" w:ascii="宋体" w:hAnsi="宋体" w:cs="宋体"/>
                <w:color w:val="000000"/>
                <w:spacing w:val="10"/>
                <w:szCs w:val="21"/>
              </w:rPr>
              <w:t>保守型、</w:t>
            </w:r>
            <w:r>
              <w:rPr>
                <w:rFonts w:hint="eastAsia" w:ascii="宋体" w:hAnsi="宋体" w:cs="宋体"/>
                <w:szCs w:val="21"/>
              </w:rPr>
              <w:t>□谨慎</w:t>
            </w:r>
            <w:r>
              <w:rPr>
                <w:rFonts w:hint="eastAsia" w:ascii="宋体" w:hAnsi="宋体" w:cs="宋体"/>
                <w:color w:val="000000"/>
                <w:spacing w:val="10"/>
                <w:szCs w:val="21"/>
              </w:rPr>
              <w:t>型、</w:t>
            </w:r>
            <w:r>
              <w:rPr>
                <w:rFonts w:hint="eastAsia" w:ascii="宋体" w:hAnsi="宋体" w:cs="宋体"/>
                <w:szCs w:val="21"/>
              </w:rPr>
              <w:t>□</w:t>
            </w:r>
            <w:r>
              <w:rPr>
                <w:rFonts w:hint="eastAsia" w:ascii="宋体" w:hAnsi="宋体" w:cs="宋体"/>
                <w:color w:val="000000"/>
                <w:spacing w:val="10"/>
                <w:szCs w:val="21"/>
              </w:rPr>
              <w:t>稳健型、</w:t>
            </w:r>
            <w:r>
              <w:rPr>
                <w:rFonts w:hint="eastAsia" w:ascii="宋体" w:hAnsi="宋体" w:cs="宋体"/>
                <w:szCs w:val="21"/>
              </w:rPr>
              <w:t>□</w:t>
            </w:r>
            <w:r>
              <w:rPr>
                <w:rFonts w:hint="eastAsia" w:ascii="宋体" w:hAnsi="宋体" w:cs="宋体"/>
                <w:color w:val="000000"/>
                <w:spacing w:val="10"/>
                <w:szCs w:val="21"/>
              </w:rPr>
              <w:t>进取型、</w:t>
            </w:r>
            <w:r>
              <w:rPr>
                <w:rFonts w:hint="eastAsia" w:ascii="宋体" w:hAnsi="宋体" w:cs="宋体"/>
                <w:szCs w:val="21"/>
              </w:rPr>
              <w:t>□</w:t>
            </w:r>
            <w:r>
              <w:rPr>
                <w:rFonts w:hint="eastAsia" w:ascii="宋体" w:hAnsi="宋体" w:cs="宋体"/>
                <w:color w:val="000000"/>
                <w:spacing w:val="10"/>
                <w:szCs w:val="21"/>
              </w:rPr>
              <w:t>激进型）。</w:t>
            </w:r>
          </w:p>
          <w:p>
            <w:pPr>
              <w:widowControl/>
              <w:spacing w:line="420" w:lineRule="exact"/>
              <w:ind w:left="-176" w:leftChars="-84" w:firstLine="358" w:firstLineChars="170"/>
              <w:jc w:val="center"/>
              <w:rPr>
                <w:rFonts w:ascii="宋体" w:hAnsi="宋体" w:cs="宋体"/>
                <w:b/>
                <w:bCs/>
                <w:color w:val="000000"/>
                <w:szCs w:val="21"/>
                <w:u w:val="single"/>
              </w:rPr>
            </w:pPr>
            <w:r>
              <w:rPr>
                <w:rFonts w:hint="eastAsia" w:ascii="宋体" w:hAnsi="宋体" w:cs="宋体"/>
                <w:b/>
                <w:bCs/>
                <w:color w:val="000000"/>
                <w:szCs w:val="21"/>
                <w:u w:val="single"/>
              </w:rPr>
              <w:t>本人已阅读风险揭示，愿意承担投资风险。</w:t>
            </w:r>
          </w:p>
          <w:p>
            <w:pPr>
              <w:widowControl/>
              <w:spacing w:line="420" w:lineRule="exact"/>
              <w:ind w:left="-176" w:leftChars="-84" w:firstLine="357" w:firstLineChars="170"/>
              <w:jc w:val="center"/>
              <w:rPr>
                <w:rFonts w:ascii="宋体" w:hAnsi="宋体" w:cs="宋体"/>
                <w:szCs w:val="21"/>
                <w:u w:val="single"/>
              </w:rPr>
            </w:pPr>
            <w:r>
              <w:rPr>
                <w:rFonts w:hint="eastAsia" w:ascii="宋体" w:hAnsi="宋体" w:cs="宋体"/>
                <w:color w:val="000000"/>
                <w:szCs w:val="21"/>
              </w:rPr>
              <w:t>投资者抄录（上述横线标注文字）：</w:t>
            </w:r>
          </w:p>
          <w:p>
            <w:pPr>
              <w:spacing w:line="360" w:lineRule="auto"/>
              <w:jc w:val="center"/>
              <w:rPr>
                <w:rFonts w:ascii="宋体" w:hAnsi="宋体" w:cs="宋体"/>
                <w:color w:val="000000"/>
                <w:szCs w:val="21"/>
              </w:rPr>
            </w:pP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投资者（客户）签名</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理财经理签名：                              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40" w:hRule="atLeast"/>
        </w:trPr>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（机构客户适用）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pPr>
              <w:spacing w:line="360" w:lineRule="auto"/>
              <w:ind w:firstLine="420" w:firstLineChars="200"/>
              <w:rPr>
                <w:rFonts w:ascii="宋体" w:hAnsi="宋体" w:cs="宋体"/>
                <w:color w:val="000000"/>
                <w:szCs w:val="21"/>
              </w:rPr>
            </w:pPr>
          </w:p>
          <w:p>
            <w:pPr>
              <w:spacing w:line="360" w:lineRule="auto"/>
              <w:ind w:firstLine="630" w:firstLineChars="300"/>
              <w:rPr>
                <w:rFonts w:ascii="宋体" w:hAnsi="宋体" w:cs="宋体"/>
                <w:color w:val="000000"/>
                <w:szCs w:val="21"/>
              </w:rPr>
            </w:pPr>
            <w:r>
              <w:rPr>
                <w:rFonts w:hint="eastAsia" w:ascii="宋体" w:hAnsi="宋体" w:cs="宋体"/>
                <w:color w:val="000000"/>
                <w:szCs w:val="21"/>
              </w:rPr>
              <w:t>投资者（客户）盖公章</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 xml:space="preserve">法定代表人或委托代理人签字（签章）：               </w:t>
            </w:r>
            <w:r>
              <w:rPr>
                <w:rFonts w:hint="eastAsia" w:ascii="宋体" w:hAnsi="宋体" w:cs="宋体"/>
                <w:color w:val="000000"/>
                <w:szCs w:val="21"/>
                <w:lang w:val="en-US" w:eastAsia="zh-CN"/>
              </w:rPr>
              <w:t xml:space="preserve"> </w:t>
            </w:r>
            <w:r>
              <w:rPr>
                <w:rFonts w:hint="eastAsia" w:ascii="宋体" w:hAnsi="宋体" w:cs="宋体"/>
                <w:color w:val="000000"/>
                <w:szCs w:val="21"/>
              </w:rPr>
              <w:t>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p>
      <w:pPr>
        <w:kinsoku w:val="0"/>
        <w:overflowPunct w:val="0"/>
        <w:autoSpaceDE w:val="0"/>
        <w:autoSpaceDN w:val="0"/>
        <w:adjustRightInd w:val="0"/>
        <w:snapToGrid w:val="0"/>
        <w:spacing w:line="360" w:lineRule="exact"/>
        <w:ind w:firstLine="420" w:firstLineChars="200"/>
        <w:jc w:val="right"/>
        <w:rPr>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4B46"/>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E1C12"/>
    <w:rsid w:val="00FE483F"/>
    <w:rsid w:val="00FE51B6"/>
    <w:rsid w:val="017B1DC8"/>
    <w:rsid w:val="06905B46"/>
    <w:rsid w:val="0A993D50"/>
    <w:rsid w:val="1167458D"/>
    <w:rsid w:val="12513443"/>
    <w:rsid w:val="17310786"/>
    <w:rsid w:val="189E7AB6"/>
    <w:rsid w:val="19C16EF4"/>
    <w:rsid w:val="1BDB5C44"/>
    <w:rsid w:val="1F153D20"/>
    <w:rsid w:val="223903D8"/>
    <w:rsid w:val="22A05C53"/>
    <w:rsid w:val="22DE2A54"/>
    <w:rsid w:val="23C555DE"/>
    <w:rsid w:val="254A3705"/>
    <w:rsid w:val="25DA2A80"/>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 w:val="7F547F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01"/>
      <w:outlineLvl w:val="1"/>
    </w:pPr>
    <w:rPr>
      <w:rFonts w:ascii="宋体" w:hAnsi="宋体" w:eastAsia="宋体" w:cs="宋体"/>
      <w:b/>
      <w:bCs/>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qFormat/>
    <w:uiPriority w:val="1"/>
    <w:pPr>
      <w:ind w:left="101"/>
    </w:pPr>
    <w:rPr>
      <w:rFonts w:ascii="宋体" w:hAnsi="宋体" w:eastAsia="宋体" w:cs="宋体"/>
      <w:sz w:val="22"/>
      <w:szCs w:val="22"/>
      <w:lang w:val="en-US" w:eastAsia="zh-CN" w:bidi="ar-SA"/>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Calibri" w:hAnsi="Calibri" w:eastAsia="宋体"/>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annotation subject"/>
    <w:basedOn w:val="3"/>
    <w:next w:val="3"/>
    <w:link w:val="20"/>
    <w:unhideWhenUsed/>
    <w:qFormat/>
    <w:uiPriority w:val="99"/>
    <w:rPr>
      <w:b/>
      <w:bCs/>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qFormat/>
    <w:uiPriority w:val="0"/>
    <w:rPr>
      <w:rFonts w:cs="Times New Roman"/>
      <w:color w:val="0000FF"/>
      <w:u w:val="single"/>
    </w:rPr>
  </w:style>
  <w:style w:type="character" w:styleId="13">
    <w:name w:val="annotation reference"/>
    <w:basedOn w:val="11"/>
    <w:unhideWhenUsed/>
    <w:qFormat/>
    <w:uiPriority w:val="99"/>
    <w:rPr>
      <w:sz w:val="21"/>
      <w:szCs w:val="21"/>
    </w:rPr>
  </w:style>
  <w:style w:type="paragraph" w:customStyle="1" w:styleId="14">
    <w:name w:val="修订1"/>
    <w:hidden/>
    <w:semiHidden/>
    <w:qFormat/>
    <w:uiPriority w:val="99"/>
    <w:rPr>
      <w:rFonts w:ascii="Calibri" w:hAnsi="Calibri" w:eastAsia="宋体" w:cs="Times New Roman"/>
      <w:kern w:val="2"/>
      <w:sz w:val="21"/>
      <w:szCs w:val="22"/>
      <w:lang w:val="en-US" w:eastAsia="zh-CN" w:bidi="ar-SA"/>
    </w:rPr>
  </w:style>
  <w:style w:type="paragraph" w:customStyle="1" w:styleId="15">
    <w:name w:val="正文文本缩进1"/>
    <w:basedOn w:val="1"/>
    <w:qFormat/>
    <w:uiPriority w:val="0"/>
    <w:pPr>
      <w:ind w:firstLine="560" w:firstLineChars="200"/>
    </w:pPr>
    <w:rPr>
      <w:sz w:val="24"/>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character" w:customStyle="1" w:styleId="19">
    <w:name w:val="批注文字 Char"/>
    <w:basedOn w:val="11"/>
    <w:link w:val="3"/>
    <w:semiHidden/>
    <w:qFormat/>
    <w:uiPriority w:val="99"/>
    <w:rPr>
      <w:rFonts w:ascii="Calibri" w:hAnsi="Calibri" w:eastAsia="宋体" w:cs="Times New Roman"/>
    </w:rPr>
  </w:style>
  <w:style w:type="character" w:customStyle="1" w:styleId="20">
    <w:name w:val="批注主题 Char"/>
    <w:basedOn w:val="19"/>
    <w:link w:val="8"/>
    <w:semiHidden/>
    <w:qFormat/>
    <w:uiPriority w:val="99"/>
    <w:rPr>
      <w:rFonts w:ascii="Calibri" w:hAnsi="Calibri" w:eastAsia="宋体" w:cs="Times New Roman"/>
      <w:b/>
      <w:bCs/>
    </w:rPr>
  </w:style>
  <w:style w:type="paragraph" w:customStyle="1" w:styleId="21">
    <w:name w:val="List Paragraph"/>
    <w:basedOn w:val="1"/>
    <w:qFormat/>
    <w:uiPriority w:val="1"/>
    <w:pPr>
      <w:ind w:left="101"/>
    </w:pPr>
    <w:rPr>
      <w:rFonts w:ascii="宋体" w:hAnsi="宋体" w:eastAsia="宋体" w:cs="宋体"/>
      <w:lang w:val="en-US" w:eastAsia="zh-CN" w:bidi="ar-SA"/>
    </w:rPr>
  </w:style>
  <w:style w:type="paragraph" w:customStyle="1" w:styleId="22">
    <w:name w:val="列出段落1"/>
    <w:basedOn w:val="1"/>
    <w:qFormat/>
    <w:uiPriority w:val="1"/>
    <w:pPr>
      <w:ind w:left="101"/>
    </w:pPr>
    <w:rPr>
      <w:rFonts w:ascii="宋体"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388</Words>
  <Characters>2212</Characters>
  <Lines>18</Lines>
  <Paragraphs>5</Paragraphs>
  <TotalTime>16</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2020-05-25T08:42:00Z</dcterms:created>
  <dc:creator>阮维</dc:creator>
  <cp:lastModifiedBy>liuningyi</cp:lastModifiedBy>
  <cp:lastPrinted>2018-12-28T11:12:00Z</cp:lastPrinted>
  <dcterms:modified xsi:type="dcterms:W3CDTF">2025-12-25T08:53:23Z</dcterms:modified>
  <dc:title>华融湘江银行人民币理财产品风险揭示书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