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FA" w:rsidRDefault="00C07BAC">
      <w:pPr>
        <w:spacing w:line="360" w:lineRule="atLeast"/>
        <w:ind w:firstLineChars="800" w:firstLine="2570"/>
        <w:outlineLvl w:val="0"/>
        <w:rPr>
          <w:rFonts w:ascii="宋体" w:hAnsi="宋体"/>
          <w:b/>
          <w:sz w:val="32"/>
          <w:szCs w:val="32"/>
        </w:rPr>
        <w:sectPr w:rsidR="00EB23FA">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w:t>
      </w:r>
      <w:r>
        <w:rPr>
          <w:rFonts w:ascii="宋体" w:hAnsi="宋体" w:hint="eastAsia"/>
          <w:b/>
          <w:sz w:val="32"/>
          <w:szCs w:val="32"/>
        </w:rPr>
        <w:t>银行净值型人民币理财产品说明书</w:t>
      </w:r>
      <w:bookmarkEnd w:id="0"/>
    </w:p>
    <w:p w:rsidR="00EB23FA" w:rsidRDefault="00C07BAC">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EB23FA" w:rsidRDefault="00C07BAC">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EB23FA">
        <w:tc>
          <w:tcPr>
            <w:tcW w:w="10682" w:type="dxa"/>
            <w:shd w:val="clear" w:color="auto" w:fill="auto"/>
          </w:tcPr>
          <w:p w:rsidR="00EB23FA" w:rsidRDefault="00C07BAC">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EB23FA" w:rsidRDefault="00C07BAC">
            <w:r>
              <w:t xml:space="preserve">2. </w:t>
            </w:r>
            <w:r>
              <w:rPr>
                <w:rFonts w:hint="eastAsia"/>
              </w:rPr>
              <w:t>本理财产品不同于银行存款，湖南银行不保证本金及收益，您的本金可能因为市场变动而蒙受相应损失，您应充分认识投资风险，谨慎投资。</w:t>
            </w:r>
          </w:p>
          <w:p w:rsidR="00EB23FA" w:rsidRDefault="00C07BAC">
            <w:r>
              <w:t xml:space="preserve">3. </w:t>
            </w:r>
            <w:r>
              <w:rPr>
                <w:rFonts w:hint="eastAsia"/>
              </w:rPr>
              <w:t>投资者不得使用贷款、发行债券等筹集的非自有资金投资本理财产品。</w:t>
            </w:r>
          </w:p>
          <w:p w:rsidR="00EB23FA" w:rsidRDefault="00C07BAC">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EB23FA" w:rsidRDefault="00C07BAC">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EB23FA" w:rsidRDefault="00C07BAC">
            <w:r>
              <w:t>6.</w:t>
            </w:r>
            <w:r>
              <w:rPr>
                <w:rFonts w:hint="eastAsia"/>
              </w:rPr>
              <w:t>理财产品过往业绩不代表其未来表现，不等于理财产品实际收益，投资须谨</w:t>
            </w:r>
            <w:r>
              <w:rPr>
                <w:rFonts w:hint="eastAsia"/>
              </w:rPr>
              <w:t>慎。</w:t>
            </w:r>
          </w:p>
          <w:p w:rsidR="00EB23FA" w:rsidRDefault="00C07BAC">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EB23FA" w:rsidRDefault="00C07BAC">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EB23FA" w:rsidRDefault="00C07BAC">
            <w:pPr>
              <w:rPr>
                <w:rFonts w:ascii="宋体" w:hAnsi="宋体"/>
                <w:szCs w:val="21"/>
              </w:rPr>
            </w:pPr>
            <w:r>
              <w:rPr>
                <w:rFonts w:ascii="宋体" w:hAnsi="宋体"/>
                <w:szCs w:val="21"/>
              </w:rPr>
              <w:t>9.</w:t>
            </w:r>
            <w:r>
              <w:rPr>
                <w:rFonts w:ascii="宋体" w:hAnsi="宋体" w:hint="eastAsia"/>
                <w:szCs w:val="21"/>
              </w:rPr>
              <w:t>湖南银行承诺</w:t>
            </w:r>
            <w:r>
              <w:rPr>
                <w:rFonts w:ascii="宋体" w:hAnsi="宋体" w:hint="eastAsia"/>
                <w:szCs w:val="21"/>
              </w:rPr>
              <w:t>秉承</w:t>
            </w:r>
            <w:r>
              <w:rPr>
                <w:rFonts w:ascii="宋体" w:hAnsi="宋体" w:hint="eastAsia"/>
                <w:szCs w:val="21"/>
              </w:rPr>
              <w:t>诚实信用、勤勉尽责的原则，并根据本《产品说明书》所载要求管理和运用理财产品认购资金。</w:t>
            </w:r>
          </w:p>
          <w:p w:rsidR="00EB23FA" w:rsidRDefault="00C07BAC">
            <w:pPr>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为贯彻落实银行业理财登记托管中心发布的《</w:t>
            </w:r>
            <w:r>
              <w:rPr>
                <w:rFonts w:ascii="宋体" w:hAnsi="宋体" w:cs="宋体" w:hint="eastAsia"/>
                <w:kern w:val="0"/>
                <w:szCs w:val="21"/>
              </w:rPr>
              <w:t>&lt;</w:t>
            </w:r>
            <w:r>
              <w:rPr>
                <w:rFonts w:ascii="宋体" w:hAnsi="宋体" w:cs="宋体" w:hint="eastAsia"/>
                <w:kern w:val="0"/>
                <w:szCs w:val="21"/>
              </w:rPr>
              <w:t>中国银行保险监督管理委员会办公厅</w:t>
            </w:r>
            <w:r>
              <w:rPr>
                <w:rFonts w:ascii="宋体" w:hAnsi="宋体" w:cs="宋体" w:hint="eastAsia"/>
                <w:kern w:val="0"/>
                <w:szCs w:val="21"/>
              </w:rPr>
              <w:t>&lt;</w:t>
            </w:r>
            <w:r>
              <w:rPr>
                <w:rFonts w:ascii="宋体" w:hAnsi="宋体" w:cs="宋体" w:hint="eastAsia"/>
                <w:kern w:val="0"/>
                <w:szCs w:val="21"/>
              </w:rPr>
              <w:t>关于进一步做好银行理财登记工作有关事项的通知</w:t>
            </w:r>
            <w:r>
              <w:rPr>
                <w:rFonts w:ascii="宋体" w:hAnsi="宋体" w:cs="宋体" w:hint="eastAsia"/>
                <w:kern w:val="0"/>
                <w:szCs w:val="21"/>
              </w:rPr>
              <w:t>&gt;</w:t>
            </w:r>
            <w:r>
              <w:rPr>
                <w:rFonts w:ascii="宋体" w:hAnsi="宋体" w:cs="宋体" w:hint="eastAsia"/>
                <w:kern w:val="0"/>
                <w:szCs w:val="21"/>
              </w:rPr>
              <w:t>实施细则》（理财中心发</w:t>
            </w:r>
            <w:r>
              <w:rPr>
                <w:rFonts w:ascii="宋体" w:hAnsi="宋体" w:cs="宋体" w:hint="eastAsia"/>
                <w:kern w:val="0"/>
                <w:szCs w:val="21"/>
              </w:rPr>
              <w:t>[2018]18</w:t>
            </w:r>
            <w:r>
              <w:rPr>
                <w:rFonts w:ascii="宋体" w:hAnsi="宋体" w:cs="宋体" w:hint="eastAsia"/>
                <w:kern w:val="0"/>
                <w:szCs w:val="21"/>
              </w:rPr>
              <w:t>号）文件的精神及相关实施细则及《银行业理财登记托管中心关于</w:t>
            </w:r>
            <w:r>
              <w:rPr>
                <w:rFonts w:ascii="宋体" w:hAnsi="宋体" w:cs="宋体" w:hint="eastAsia"/>
                <w:kern w:val="0"/>
                <w:szCs w:val="21"/>
              </w:rPr>
              <w:t>&lt;</w:t>
            </w:r>
            <w:r>
              <w:rPr>
                <w:rFonts w:ascii="宋体" w:hAnsi="宋体" w:cs="宋体" w:hint="eastAsia"/>
                <w:kern w:val="0"/>
                <w:szCs w:val="21"/>
              </w:rPr>
              <w:t>中国银保监会办公厅关于印发银行业金融机构监管数据标准化规范（</w:t>
            </w:r>
            <w:r>
              <w:rPr>
                <w:rFonts w:ascii="宋体" w:hAnsi="宋体" w:cs="宋体" w:hint="eastAsia"/>
                <w:kern w:val="0"/>
                <w:szCs w:val="21"/>
              </w:rPr>
              <w:t>2019</w:t>
            </w:r>
            <w:r>
              <w:rPr>
                <w:rFonts w:ascii="宋体" w:hAnsi="宋体" w:cs="宋体" w:hint="eastAsia"/>
                <w:kern w:val="0"/>
                <w:szCs w:val="21"/>
              </w:rPr>
              <w:t>版）</w:t>
            </w:r>
            <w:r>
              <w:rPr>
                <w:rFonts w:ascii="宋体" w:hAnsi="宋体" w:cs="宋体" w:hint="eastAsia"/>
                <w:kern w:val="0"/>
                <w:szCs w:val="21"/>
              </w:rPr>
              <w:t>&gt;</w:t>
            </w:r>
            <w:r>
              <w:rPr>
                <w:rFonts w:ascii="宋体" w:hAnsi="宋体" w:cs="宋体" w:hint="eastAsia"/>
                <w:kern w:val="0"/>
                <w:szCs w:val="21"/>
              </w:rPr>
              <w: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w:t>
            </w:r>
            <w:r>
              <w:rPr>
                <w:rFonts w:ascii="宋体" w:hAnsi="宋体" w:cs="宋体" w:hint="eastAsia"/>
                <w:kern w:val="0"/>
                <w:szCs w:val="21"/>
              </w:rPr>
              <w:t>监管机构</w:t>
            </w:r>
            <w:r>
              <w:rPr>
                <w:rFonts w:ascii="宋体" w:hAnsi="宋体" w:cs="宋体" w:hint="eastAsia"/>
                <w:kern w:val="0"/>
                <w:szCs w:val="21"/>
              </w:rPr>
              <w:t>和银行业理财登记中心等机</w:t>
            </w:r>
            <w:r>
              <w:rPr>
                <w:rFonts w:ascii="宋体" w:hAnsi="宋体" w:cs="宋体" w:hint="eastAsia"/>
                <w:kern w:val="0"/>
                <w:szCs w:val="21"/>
              </w:rPr>
              <w:t>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w:t>
            </w:r>
            <w:r>
              <w:rPr>
                <w:rFonts w:ascii="宋体" w:hAnsi="宋体" w:cs="宋体" w:hint="eastAsia"/>
                <w:kern w:val="0"/>
                <w:szCs w:val="21"/>
              </w:rPr>
              <w:t>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EB23FA" w:rsidRDefault="00C07BAC">
            <w:pPr>
              <w:rPr>
                <w:rFonts w:ascii="宋体" w:hAnsi="宋体" w:cs="宋体"/>
                <w:b/>
                <w:bCs/>
                <w:szCs w:val="21"/>
              </w:rPr>
            </w:pPr>
            <w:r>
              <w:rPr>
                <w:rFonts w:ascii="宋体" w:hAnsi="宋体" w:cs="宋体" w:hint="eastAsia"/>
                <w:kern w:val="0"/>
                <w:szCs w:val="21"/>
              </w:rPr>
              <w:t>11.</w:t>
            </w:r>
            <w:r>
              <w:rPr>
                <w:rFonts w:ascii="宋体" w:hAnsi="宋体" w:cs="宋体" w:hint="eastAsia"/>
                <w:kern w:val="0"/>
                <w:szCs w:val="21"/>
              </w:rPr>
              <w:t>根据监管要求，理财资产管理人（特指除湖南银行以外的其他管理人，包括但不限于本理财产品投资的信托计划</w:t>
            </w:r>
            <w:r>
              <w:rPr>
                <w:rFonts w:ascii="宋体" w:hAnsi="宋体" w:cs="宋体" w:hint="eastAsia"/>
                <w:kern w:val="0"/>
                <w:szCs w:val="21"/>
              </w:rPr>
              <w:t>/</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的受托人、相关投资顾问等，下同）有可能需要向监管机构报送投资者身份信息和持仓信息等，湖南银行将应管理人申请，在法律法规允许范围内向管理人提供相关信息</w:t>
            </w:r>
            <w:r>
              <w:rPr>
                <w:rFonts w:ascii="宋体" w:hAnsi="宋体" w:cs="宋体" w:hint="eastAsia"/>
                <w:kern w:val="0"/>
                <w:szCs w:val="21"/>
              </w:rPr>
              <w:t>，并要求该等管理人履行投资者信息保密义务。</w:t>
            </w:r>
          </w:p>
        </w:tc>
      </w:tr>
    </w:tbl>
    <w:p w:rsidR="00EB23FA" w:rsidRDefault="00EB23FA">
      <w:pPr>
        <w:spacing w:line="360" w:lineRule="atLeast"/>
        <w:ind w:rightChars="15" w:right="31"/>
        <w:jc w:val="left"/>
        <w:rPr>
          <w:rFonts w:ascii="宋体" w:hAnsi="宋体" w:cs="宋体"/>
          <w:b/>
          <w:bCs/>
          <w:szCs w:val="21"/>
        </w:rPr>
      </w:pPr>
    </w:p>
    <w:p w:rsidR="00EB23FA" w:rsidRDefault="00C07BAC">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EB23FA">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w:t>
            </w:r>
            <w:r>
              <w:rPr>
                <w:rFonts w:ascii="宋体" w:hAnsi="宋体" w:hint="eastAsia"/>
                <w:szCs w:val="21"/>
              </w:rPr>
              <w:t>2</w:t>
            </w:r>
            <w:r>
              <w:rPr>
                <w:rFonts w:ascii="宋体" w:hAnsi="宋体" w:hint="eastAsia"/>
                <w:szCs w:val="21"/>
              </w:rPr>
              <w:t>6001</w:t>
            </w:r>
            <w:r>
              <w:rPr>
                <w:rFonts w:ascii="宋体" w:hAnsi="宋体" w:hint="eastAsia"/>
                <w:szCs w:val="21"/>
              </w:rPr>
              <w:t>号理财产品</w:t>
            </w:r>
          </w:p>
        </w:tc>
      </w:tr>
      <w:tr w:rsidR="00EB23FA">
        <w:trPr>
          <w:trHeight w:val="9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r>
              <w:rPr>
                <w:rFonts w:ascii="宋体" w:hAnsi="宋体" w:hint="eastAsia"/>
                <w:szCs w:val="21"/>
              </w:rPr>
              <w:t>G2</w:t>
            </w:r>
            <w:r>
              <w:rPr>
                <w:rFonts w:ascii="宋体" w:hAnsi="宋体" w:hint="eastAsia"/>
                <w:szCs w:val="21"/>
              </w:rPr>
              <w:t>6001</w:t>
            </w:r>
          </w:p>
        </w:tc>
      </w:tr>
      <w:tr w:rsidR="00EB23FA">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F80166">
            <w:pPr>
              <w:spacing w:line="360" w:lineRule="atLeast"/>
              <w:ind w:rightChars="15" w:right="31"/>
              <w:rPr>
                <w:rFonts w:ascii="宋体" w:hAnsi="宋体" w:cs="宋体"/>
                <w:kern w:val="0"/>
                <w:szCs w:val="21"/>
              </w:rPr>
            </w:pPr>
            <w:r w:rsidRPr="00F80166">
              <w:rPr>
                <w:rFonts w:ascii="宋体" w:hAnsi="宋体"/>
                <w:szCs w:val="21"/>
              </w:rPr>
              <w:t>C1136026A000001</w:t>
            </w:r>
            <w:bookmarkStart w:id="3" w:name="_GoBack"/>
            <w:bookmarkEnd w:id="3"/>
            <w:r w:rsidR="00C07BAC">
              <w:rPr>
                <w:rFonts w:ascii="宋体" w:hAnsi="宋体" w:hint="eastAsia"/>
                <w:szCs w:val="21"/>
              </w:rPr>
              <w:t>（为全国银行业理财信息登记系统的登记编码，客户可依据该登记编码在中国理财网查询该产品信息）</w:t>
            </w:r>
          </w:p>
        </w:tc>
      </w:tr>
      <w:tr w:rsidR="00EB23FA">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cs="宋体"/>
                <w:kern w:val="0"/>
                <w:szCs w:val="21"/>
              </w:rPr>
            </w:pPr>
            <w:r>
              <w:rPr>
                <w:rFonts w:ascii="宋体" w:hAnsi="宋体" w:cs="宋体"/>
                <w:szCs w:val="21"/>
              </w:rPr>
              <w:t>人民币</w:t>
            </w:r>
          </w:p>
        </w:tc>
      </w:tr>
      <w:tr w:rsidR="00EB23FA">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kern w:val="0"/>
                <w:szCs w:val="21"/>
              </w:rPr>
            </w:pPr>
            <w:r>
              <w:rPr>
                <w:rFonts w:ascii="宋体" w:hAnsi="宋体" w:cs="宋体" w:hint="eastAsia"/>
                <w:kern w:val="0"/>
                <w:szCs w:val="21"/>
              </w:rPr>
              <w:t>私募</w:t>
            </w:r>
            <w:r>
              <w:rPr>
                <w:rFonts w:ascii="宋体" w:hAnsi="宋体" w:cs="宋体" w:hint="eastAsia"/>
                <w:kern w:val="0"/>
                <w:szCs w:val="21"/>
              </w:rPr>
              <w:t>、封闭式、</w:t>
            </w:r>
            <w:proofErr w:type="gramStart"/>
            <w:r>
              <w:rPr>
                <w:rFonts w:ascii="宋体" w:hAnsi="宋体" w:cs="宋体" w:hint="eastAsia"/>
                <w:kern w:val="0"/>
                <w:szCs w:val="21"/>
              </w:rPr>
              <w:t>固收</w:t>
            </w:r>
            <w:r>
              <w:rPr>
                <w:rFonts w:ascii="宋体" w:hAnsi="宋体" w:cs="宋体" w:hint="eastAsia"/>
                <w:kern w:val="0"/>
                <w:szCs w:val="21"/>
              </w:rPr>
              <w:t>类</w:t>
            </w:r>
            <w:proofErr w:type="gramEnd"/>
            <w:r>
              <w:rPr>
                <w:rFonts w:ascii="宋体" w:hAnsi="宋体" w:cs="宋体" w:hint="eastAsia"/>
                <w:kern w:val="0"/>
                <w:szCs w:val="21"/>
              </w:rPr>
              <w:t>净值型产品</w:t>
            </w:r>
          </w:p>
        </w:tc>
      </w:tr>
      <w:tr w:rsidR="00EB23FA">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cs="宋体"/>
                <w:kern w:val="0"/>
                <w:szCs w:val="21"/>
              </w:rPr>
            </w:pPr>
            <w:r>
              <w:rPr>
                <w:rFonts w:ascii="宋体" w:hAnsi="宋体" w:cs="宋体"/>
                <w:szCs w:val="21"/>
              </w:rPr>
              <w:t>根据本行理财产品风险评级，本产品属于【</w:t>
            </w:r>
            <w:r>
              <w:rPr>
                <w:rFonts w:ascii="宋体" w:hAnsi="宋体" w:cs="宋体"/>
                <w:szCs w:val="21"/>
              </w:rPr>
              <w:t>□</w:t>
            </w:r>
            <w:r>
              <w:rPr>
                <w:rFonts w:ascii="宋体" w:hAnsi="宋体" w:cs="宋体"/>
                <w:szCs w:val="21"/>
              </w:rPr>
              <w:t>低风险（</w:t>
            </w:r>
            <w:r>
              <w:rPr>
                <w:rFonts w:ascii="宋体" w:hAnsi="宋体" w:cs="宋体"/>
                <w:szCs w:val="21"/>
              </w:rPr>
              <w:t>R1</w:t>
            </w:r>
            <w:r>
              <w:rPr>
                <w:rFonts w:ascii="宋体" w:hAnsi="宋体" w:cs="宋体"/>
                <w:szCs w:val="21"/>
              </w:rPr>
              <w:t>）、</w:t>
            </w:r>
            <w:r>
              <w:rPr>
                <w:rFonts w:ascii="宋体" w:hAnsi="宋体" w:cs="宋体"/>
                <w:szCs w:val="21"/>
              </w:rPr>
              <w:t>□</w:t>
            </w:r>
            <w:r>
              <w:rPr>
                <w:rFonts w:ascii="宋体" w:hAnsi="宋体" w:cs="宋体"/>
                <w:szCs w:val="21"/>
              </w:rPr>
              <w:t>中低风险（</w:t>
            </w:r>
            <w:r>
              <w:rPr>
                <w:rFonts w:ascii="宋体" w:hAnsi="宋体" w:cs="宋体"/>
                <w:szCs w:val="21"/>
              </w:rPr>
              <w:t>R2</w:t>
            </w:r>
            <w:r>
              <w:rPr>
                <w:rFonts w:ascii="宋体" w:hAnsi="宋体" w:cs="宋体"/>
                <w:szCs w:val="21"/>
              </w:rPr>
              <w:t>）、</w:t>
            </w:r>
            <w:r>
              <w:rPr>
                <w:rFonts w:ascii="宋体" w:hAnsi="宋体" w:cs="宋体"/>
                <w:szCs w:val="21"/>
              </w:rPr>
              <w:t>■</w:t>
            </w:r>
            <w:r>
              <w:rPr>
                <w:rFonts w:ascii="宋体" w:hAnsi="宋体" w:cs="宋体"/>
                <w:szCs w:val="21"/>
              </w:rPr>
              <w:t>中等风险（</w:t>
            </w:r>
            <w:r>
              <w:rPr>
                <w:rFonts w:ascii="宋体" w:hAnsi="宋体" w:cs="宋体"/>
                <w:szCs w:val="21"/>
              </w:rPr>
              <w:t>R3</w:t>
            </w:r>
            <w:r>
              <w:rPr>
                <w:rFonts w:ascii="宋体" w:hAnsi="宋体" w:cs="宋体"/>
                <w:szCs w:val="21"/>
              </w:rPr>
              <w:t>）、</w:t>
            </w:r>
            <w:r>
              <w:rPr>
                <w:rFonts w:ascii="宋体" w:hAnsi="宋体" w:cs="宋体"/>
                <w:szCs w:val="21"/>
              </w:rPr>
              <w:t>□</w:t>
            </w:r>
            <w:r>
              <w:rPr>
                <w:rFonts w:ascii="宋体" w:hAnsi="宋体" w:cs="宋体"/>
                <w:szCs w:val="21"/>
              </w:rPr>
              <w:t>中高风险（</w:t>
            </w:r>
            <w:r>
              <w:rPr>
                <w:rFonts w:ascii="宋体" w:hAnsi="宋体" w:cs="宋体"/>
                <w:szCs w:val="21"/>
              </w:rPr>
              <w:t>R4</w:t>
            </w:r>
            <w:r>
              <w:rPr>
                <w:rFonts w:ascii="宋体" w:hAnsi="宋体" w:cs="宋体"/>
                <w:szCs w:val="21"/>
              </w:rPr>
              <w:t>）、</w:t>
            </w:r>
            <w:r>
              <w:rPr>
                <w:rFonts w:ascii="宋体" w:hAnsi="宋体" w:cs="宋体"/>
                <w:szCs w:val="21"/>
              </w:rPr>
              <w:sym w:font="Wingdings 2" w:char="00A3"/>
            </w:r>
            <w:r>
              <w:rPr>
                <w:rFonts w:ascii="宋体" w:hAnsi="宋体" w:cs="宋体"/>
                <w:szCs w:val="21"/>
              </w:rPr>
              <w:t>高风险（</w:t>
            </w:r>
            <w:r>
              <w:rPr>
                <w:rFonts w:ascii="宋体" w:hAnsi="宋体" w:cs="宋体"/>
                <w:szCs w:val="21"/>
              </w:rPr>
              <w:t>R5</w:t>
            </w:r>
            <w:r>
              <w:rPr>
                <w:rFonts w:ascii="宋体" w:hAnsi="宋体" w:cs="宋体"/>
                <w:szCs w:val="21"/>
              </w:rPr>
              <w:t>）】理财产品</w:t>
            </w:r>
            <w:r>
              <w:rPr>
                <w:rFonts w:ascii="宋体" w:hAnsi="宋体" w:hint="eastAsia"/>
                <w:kern w:val="0"/>
                <w:szCs w:val="21"/>
              </w:rPr>
              <w:t>。</w:t>
            </w:r>
          </w:p>
        </w:tc>
      </w:tr>
      <w:tr w:rsidR="00EB23FA">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w:t>
            </w:r>
            <w:r>
              <w:rPr>
                <w:rFonts w:ascii="宋体" w:hAnsi="宋体" w:cs="宋体"/>
                <w:szCs w:val="21"/>
              </w:rPr>
              <w:t>保守型、</w:t>
            </w:r>
            <w:r>
              <w:rPr>
                <w:rFonts w:ascii="宋体" w:hAnsi="宋体" w:cs="宋体"/>
                <w:szCs w:val="21"/>
              </w:rPr>
              <w:t>□</w:t>
            </w:r>
            <w:r>
              <w:rPr>
                <w:rFonts w:ascii="宋体" w:hAnsi="宋体" w:cs="宋体"/>
                <w:szCs w:val="21"/>
              </w:rPr>
              <w:t>谨慎型、</w:t>
            </w:r>
            <w:r>
              <w:rPr>
                <w:rFonts w:ascii="宋体" w:hAnsi="宋体" w:cs="宋体"/>
                <w:szCs w:val="21"/>
              </w:rPr>
              <w:t>■</w:t>
            </w:r>
            <w:r>
              <w:rPr>
                <w:rFonts w:ascii="宋体" w:hAnsi="宋体" w:cs="宋体"/>
                <w:szCs w:val="21"/>
              </w:rPr>
              <w:t>稳健型、</w:t>
            </w:r>
            <w:r>
              <w:rPr>
                <w:rFonts w:ascii="宋体" w:hAnsi="宋体" w:cs="宋体"/>
                <w:szCs w:val="21"/>
              </w:rPr>
              <w:t>■</w:t>
            </w:r>
            <w:r>
              <w:rPr>
                <w:rFonts w:ascii="宋体" w:hAnsi="宋体" w:cs="宋体"/>
                <w:szCs w:val="21"/>
              </w:rPr>
              <w:t>进取型、</w:t>
            </w:r>
            <w:r>
              <w:rPr>
                <w:rFonts w:ascii="宋体" w:hAnsi="宋体" w:cs="宋体"/>
                <w:szCs w:val="21"/>
              </w:rPr>
              <w:t>■</w:t>
            </w:r>
            <w:r>
              <w:rPr>
                <w:rFonts w:ascii="宋体" w:hAnsi="宋体" w:cs="宋体"/>
                <w:szCs w:val="21"/>
              </w:rPr>
              <w:t>激进型</w:t>
            </w:r>
            <w:r>
              <w:rPr>
                <w:rFonts w:ascii="宋体" w:hAnsi="宋体" w:hint="eastAsia"/>
                <w:szCs w:val="21"/>
              </w:rPr>
              <w:t>】的</w:t>
            </w:r>
            <w:r>
              <w:rPr>
                <w:rFonts w:ascii="宋体" w:hAnsi="宋体" w:cs="宋体" w:hint="eastAsia"/>
                <w:szCs w:val="21"/>
              </w:rPr>
              <w:t>合格投资者</w:t>
            </w:r>
            <w:r>
              <w:rPr>
                <w:rFonts w:ascii="宋体" w:hAnsi="宋体" w:hint="eastAsia"/>
                <w:szCs w:val="21"/>
              </w:rPr>
              <w:t>。</w:t>
            </w:r>
          </w:p>
        </w:tc>
      </w:tr>
      <w:tr w:rsidR="00EB23FA">
        <w:trPr>
          <w:trHeight w:val="462"/>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3.0</w:t>
            </w:r>
            <w:r>
              <w:rPr>
                <w:rFonts w:ascii="宋体" w:hAnsi="宋体" w:cs="宋体" w:hint="eastAsia"/>
                <w:b/>
                <w:bCs/>
                <w:szCs w:val="21"/>
                <w:u w:val="single"/>
              </w:rPr>
              <w:t>%-</w:t>
            </w:r>
            <w:r>
              <w:rPr>
                <w:rFonts w:ascii="宋体" w:hAnsi="宋体" w:cs="宋体" w:hint="eastAsia"/>
                <w:b/>
                <w:bCs/>
                <w:szCs w:val="21"/>
                <w:u w:val="single"/>
              </w:rPr>
              <w:t>3.5</w:t>
            </w:r>
            <w:r>
              <w:rPr>
                <w:rFonts w:ascii="宋体" w:hAnsi="宋体" w:cs="宋体" w:hint="eastAsia"/>
                <w:b/>
                <w:bCs/>
                <w:szCs w:val="21"/>
                <w:u w:val="single"/>
              </w:rPr>
              <w:t>%</w:t>
            </w:r>
            <w:r>
              <w:rPr>
                <w:rFonts w:ascii="宋体" w:hAnsi="宋体" w:cs="宋体" w:hint="eastAsia"/>
                <w:szCs w:val="21"/>
              </w:rPr>
              <w:t>，产品表现跟随市场波动，</w:t>
            </w:r>
            <w:r>
              <w:rPr>
                <w:rFonts w:ascii="宋体" w:hAnsi="宋体" w:cs="宋体" w:hint="eastAsia"/>
                <w:color w:val="000000"/>
                <w:szCs w:val="21"/>
              </w:rPr>
              <w:t>业绩比较基准不是预期收益率，不代表产品的未来表现和实际收益，不构成对产品收益的承诺。</w:t>
            </w:r>
          </w:p>
        </w:tc>
      </w:tr>
      <w:tr w:rsidR="00EB23FA">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cs="宋体"/>
                <w:szCs w:val="21"/>
              </w:rPr>
            </w:pPr>
            <w:r>
              <w:rPr>
                <w:rFonts w:hint="eastAsia"/>
              </w:rPr>
              <w:t>具体分红方案以我行公告为准。</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w:t>
            </w:r>
            <w:r>
              <w:rPr>
                <w:rFonts w:ascii="宋体" w:hAnsi="宋体"/>
                <w:szCs w:val="21"/>
              </w:rPr>
              <w:t>份。</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w:t>
            </w:r>
            <w:r>
              <w:rPr>
                <w:rFonts w:ascii="宋体" w:hAnsi="宋体"/>
                <w:szCs w:val="21"/>
              </w:rPr>
              <w:t>元。</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hint="eastAsia"/>
                <w:szCs w:val="21"/>
                <w:u w:val="single"/>
              </w:rPr>
              <w:t>5</w:t>
            </w:r>
            <w:r>
              <w:rPr>
                <w:rFonts w:ascii="宋体" w:hAnsi="宋体" w:cs="宋体"/>
                <w:szCs w:val="21"/>
                <w:u w:val="single"/>
              </w:rPr>
              <w:t>00</w:t>
            </w:r>
            <w:r>
              <w:rPr>
                <w:rFonts w:ascii="宋体" w:hAnsi="宋体"/>
                <w:szCs w:val="21"/>
              </w:rPr>
              <w:t>万份，上限</w:t>
            </w:r>
            <w:r>
              <w:rPr>
                <w:rFonts w:ascii="宋体" w:hAnsi="宋体" w:cs="宋体" w:hint="eastAsia"/>
                <w:szCs w:val="21"/>
                <w:u w:val="single"/>
              </w:rPr>
              <w:t>8000</w:t>
            </w:r>
            <w:r>
              <w:rPr>
                <w:rFonts w:ascii="宋体" w:hAnsi="宋体" w:hint="eastAsia"/>
                <w:szCs w:val="21"/>
              </w:rPr>
              <w:t>万</w:t>
            </w:r>
            <w:r>
              <w:rPr>
                <w:rFonts w:ascii="宋体" w:hAnsi="宋体"/>
                <w:szCs w:val="21"/>
              </w:rPr>
              <w:t>份，若产品发行规模超出上限，</w:t>
            </w:r>
            <w:r>
              <w:rPr>
                <w:rFonts w:ascii="宋体" w:hAnsi="宋体" w:hint="eastAsia"/>
                <w:szCs w:val="21"/>
              </w:rPr>
              <w:t>产品管理人有权暂停接受认购</w:t>
            </w:r>
            <w:r>
              <w:rPr>
                <w:rFonts w:ascii="宋体" w:hAnsi="宋体"/>
                <w:szCs w:val="21"/>
              </w:rPr>
              <w:t>\</w:t>
            </w:r>
            <w:r>
              <w:rPr>
                <w:rFonts w:ascii="宋体" w:hAnsi="宋体"/>
                <w:szCs w:val="21"/>
              </w:rPr>
              <w:t>申购申请，若产品发行规模未达</w:t>
            </w:r>
            <w:r>
              <w:rPr>
                <w:rFonts w:ascii="宋体" w:hAnsi="宋体" w:hint="eastAsia"/>
                <w:szCs w:val="21"/>
              </w:rPr>
              <w:t>下限，产品管理人有权宣布该产品不成立。</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kern w:val="0"/>
                <w:szCs w:val="21"/>
              </w:rPr>
            </w:pPr>
            <w:r>
              <w:rPr>
                <w:rFonts w:ascii="宋体" w:hAnsi="宋体" w:cs="宋体"/>
                <w:kern w:val="0"/>
                <w:szCs w:val="21"/>
              </w:rPr>
              <w:t>1</w:t>
            </w:r>
            <w:r>
              <w:rPr>
                <w:rFonts w:ascii="宋体" w:hAnsi="宋体" w:cs="宋体"/>
                <w:kern w:val="0"/>
                <w:szCs w:val="21"/>
              </w:rPr>
              <w:t>元人民币为</w:t>
            </w:r>
            <w:r>
              <w:rPr>
                <w:rFonts w:ascii="宋体" w:hAnsi="宋体" w:cs="宋体"/>
                <w:kern w:val="0"/>
                <w:szCs w:val="21"/>
              </w:rPr>
              <w:t>1</w:t>
            </w:r>
            <w:r>
              <w:rPr>
                <w:rFonts w:ascii="宋体" w:hAnsi="宋体" w:cs="宋体"/>
                <w:kern w:val="0"/>
                <w:szCs w:val="21"/>
              </w:rPr>
              <w:t>份，首次投资最低份额为</w:t>
            </w:r>
            <w:r>
              <w:rPr>
                <w:rFonts w:ascii="宋体" w:hAnsi="宋体" w:cs="宋体" w:hint="eastAsia"/>
                <w:szCs w:val="21"/>
                <w:u w:val="single"/>
              </w:rPr>
              <w:t>30</w:t>
            </w:r>
            <w:r>
              <w:rPr>
                <w:rFonts w:ascii="宋体" w:hAnsi="宋体" w:cs="宋体"/>
                <w:kern w:val="0"/>
                <w:szCs w:val="21"/>
              </w:rPr>
              <w:t>万份；超出首次投资最低份额部分，须为</w:t>
            </w:r>
            <w:r>
              <w:rPr>
                <w:rFonts w:ascii="宋体" w:hAnsi="宋体" w:cs="宋体"/>
                <w:szCs w:val="21"/>
                <w:u w:val="single"/>
              </w:rPr>
              <w:t>1</w:t>
            </w:r>
            <w:r>
              <w:rPr>
                <w:rFonts w:ascii="宋体" w:hAnsi="宋体" w:cs="宋体" w:hint="eastAsia"/>
                <w:kern w:val="0"/>
                <w:szCs w:val="21"/>
              </w:rPr>
              <w:t>万份</w:t>
            </w:r>
            <w:r>
              <w:rPr>
                <w:rFonts w:ascii="宋体" w:hAnsi="宋体" w:cs="宋体"/>
                <w:kern w:val="0"/>
                <w:szCs w:val="21"/>
              </w:rPr>
              <w:t>或</w:t>
            </w:r>
            <w:r>
              <w:rPr>
                <w:rFonts w:ascii="宋体" w:hAnsi="宋体" w:cs="宋体"/>
                <w:szCs w:val="21"/>
                <w:u w:val="single"/>
              </w:rPr>
              <w:t>1</w:t>
            </w:r>
            <w:r>
              <w:rPr>
                <w:rFonts w:ascii="宋体" w:hAnsi="宋体" w:cs="宋体" w:hint="eastAsia"/>
                <w:kern w:val="0"/>
                <w:szCs w:val="21"/>
              </w:rPr>
              <w:t>万份</w:t>
            </w:r>
            <w:r>
              <w:rPr>
                <w:rFonts w:ascii="宋体" w:hAnsi="宋体" w:cs="宋体"/>
                <w:kern w:val="0"/>
                <w:szCs w:val="21"/>
              </w:rPr>
              <w:t>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8</w:t>
            </w:r>
            <w:r>
              <w:rPr>
                <w:rFonts w:ascii="宋体" w:hAnsi="宋体" w:cs="宋体" w:hint="eastAsia"/>
                <w:szCs w:val="21"/>
                <w:u w:val="single"/>
              </w:rPr>
              <w:t>000</w:t>
            </w:r>
            <w:r>
              <w:rPr>
                <w:rFonts w:ascii="宋体" w:hAnsi="宋体"/>
                <w:kern w:val="0"/>
                <w:szCs w:val="21"/>
              </w:rPr>
              <w:t>万元和本</w:t>
            </w:r>
            <w:r>
              <w:rPr>
                <w:rFonts w:ascii="宋体" w:hAnsi="宋体" w:hint="eastAsia"/>
                <w:kern w:val="0"/>
                <w:szCs w:val="21"/>
              </w:rPr>
              <w:t>理财产品规模上限的二者较小值。</w:t>
            </w:r>
          </w:p>
        </w:tc>
      </w:tr>
      <w:tr w:rsidR="00EB23FA">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center"/>
              <w:rPr>
                <w:rFonts w:ascii="宋体" w:hAnsi="宋体"/>
                <w:kern w:val="0"/>
                <w:szCs w:val="21"/>
              </w:rPr>
            </w:pPr>
            <w:r>
              <w:rPr>
                <w:rFonts w:ascii="宋体" w:hAnsi="宋体" w:hint="eastAsia"/>
                <w:kern w:val="0"/>
                <w:szCs w:val="21"/>
              </w:rPr>
              <w:t>单</w:t>
            </w:r>
            <w:r>
              <w:rPr>
                <w:rFonts w:ascii="宋体" w:hAnsi="宋体" w:hint="eastAsia"/>
                <w:kern w:val="0"/>
                <w:szCs w:val="21"/>
              </w:rPr>
              <w:t>一客</w:t>
            </w:r>
            <w:r>
              <w:rPr>
                <w:rFonts w:ascii="宋体" w:hAnsi="宋体" w:hint="eastAsia"/>
                <w:kern w:val="0"/>
                <w:szCs w:val="21"/>
              </w:rPr>
              <w:t>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left"/>
              <w:rPr>
                <w:rFonts w:ascii="宋体" w:hAnsi="宋体"/>
                <w:b/>
                <w:bCs/>
                <w:kern w:val="0"/>
                <w:szCs w:val="21"/>
              </w:rPr>
            </w:pPr>
            <w:r>
              <w:rPr>
                <w:rFonts w:ascii="宋体" w:hAnsi="宋体" w:cs="宋体" w:hint="eastAsia"/>
                <w:b/>
                <w:bCs/>
                <w:szCs w:val="21"/>
                <w:u w:val="single"/>
              </w:rPr>
              <w:t>8</w:t>
            </w:r>
            <w:r>
              <w:rPr>
                <w:rFonts w:ascii="宋体" w:hAnsi="宋体" w:cs="宋体" w:hint="eastAsia"/>
                <w:b/>
                <w:bCs/>
                <w:szCs w:val="21"/>
                <w:u w:val="single"/>
              </w:rPr>
              <w:t>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EB23FA" w:rsidRDefault="00C07BAC">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w:t>
            </w:r>
            <w:r>
              <w:rPr>
                <w:rFonts w:ascii="宋体" w:hAnsi="宋体" w:hint="eastAsia"/>
                <w:b/>
                <w:bCs/>
                <w:kern w:val="0"/>
                <w:szCs w:val="21"/>
              </w:rPr>
              <w:t>50%</w:t>
            </w:r>
            <w:r>
              <w:rPr>
                <w:rFonts w:ascii="宋体" w:hAnsi="宋体" w:hint="eastAsia"/>
                <w:b/>
                <w:bCs/>
                <w:kern w:val="0"/>
                <w:szCs w:val="21"/>
              </w:rPr>
              <w:t>的，管理人有权采取控制措施，包括但不限于暂停接受该投资者的认购申请、对持有理财产品份额的比例达到或超过</w:t>
            </w:r>
            <w:r>
              <w:rPr>
                <w:rFonts w:ascii="宋体" w:hAnsi="宋体" w:hint="eastAsia"/>
                <w:b/>
                <w:bCs/>
                <w:kern w:val="0"/>
                <w:szCs w:val="21"/>
              </w:rPr>
              <w:t>50%</w:t>
            </w:r>
            <w:r>
              <w:rPr>
                <w:rFonts w:ascii="宋体" w:hAnsi="宋体" w:hint="eastAsia"/>
                <w:b/>
                <w:bCs/>
                <w:kern w:val="0"/>
                <w:szCs w:val="21"/>
              </w:rPr>
              <w:t>的单一投资者采取比例确认等方式进行认购申请限制等。</w:t>
            </w:r>
          </w:p>
        </w:tc>
      </w:tr>
      <w:tr w:rsidR="00EB23FA">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w:t>
            </w:r>
            <w:r>
              <w:rPr>
                <w:rFonts w:ascii="宋体" w:hAnsi="宋体" w:cs="宋体" w:hint="eastAsia"/>
                <w:szCs w:val="21"/>
                <w:u w:val="single"/>
              </w:rPr>
              <w:t>6</w:t>
            </w:r>
            <w:r>
              <w:rPr>
                <w:rFonts w:ascii="宋体" w:hAnsi="宋体"/>
                <w:szCs w:val="21"/>
              </w:rPr>
              <w:t>年</w:t>
            </w:r>
            <w:r>
              <w:rPr>
                <w:rFonts w:ascii="宋体" w:hAnsi="宋体" w:cs="宋体" w:hint="eastAsia"/>
                <w:szCs w:val="21"/>
                <w:u w:val="single"/>
              </w:rPr>
              <w:t>1</w:t>
            </w:r>
            <w:r>
              <w:rPr>
                <w:rFonts w:ascii="宋体" w:hAnsi="宋体"/>
                <w:szCs w:val="21"/>
              </w:rPr>
              <w:t>月</w:t>
            </w:r>
            <w:r>
              <w:rPr>
                <w:rFonts w:ascii="宋体" w:hAnsi="宋体" w:cs="宋体" w:hint="eastAsia"/>
                <w:szCs w:val="21"/>
                <w:u w:val="single"/>
              </w:rPr>
              <w:t>6</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w:t>
            </w:r>
            <w:r>
              <w:rPr>
                <w:rFonts w:ascii="宋体" w:hAnsi="宋体" w:cs="宋体" w:hint="eastAsia"/>
                <w:szCs w:val="21"/>
                <w:u w:val="single"/>
              </w:rPr>
              <w:t>6</w:t>
            </w:r>
            <w:r>
              <w:rPr>
                <w:rFonts w:ascii="宋体" w:hAnsi="宋体"/>
                <w:szCs w:val="21"/>
              </w:rPr>
              <w:t>年</w:t>
            </w:r>
            <w:bookmarkStart w:id="6" w:name="OLE_LINK4"/>
            <w:bookmarkStart w:id="7" w:name="OLE_LINK3"/>
            <w:bookmarkEnd w:id="6"/>
            <w:bookmarkEnd w:id="7"/>
            <w:r>
              <w:rPr>
                <w:rFonts w:ascii="宋体" w:hAnsi="宋体" w:cs="宋体" w:hint="eastAsia"/>
                <w:szCs w:val="21"/>
                <w:u w:val="single"/>
              </w:rPr>
              <w:t>1</w:t>
            </w:r>
            <w:r>
              <w:rPr>
                <w:rFonts w:ascii="宋体" w:hAnsi="宋体"/>
                <w:szCs w:val="21"/>
              </w:rPr>
              <w:t>月</w:t>
            </w:r>
            <w:r>
              <w:rPr>
                <w:rFonts w:ascii="宋体" w:hAnsi="宋体" w:cs="宋体" w:hint="eastAsia"/>
                <w:szCs w:val="21"/>
                <w:u w:val="single"/>
              </w:rPr>
              <w:t>8</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EB23FA" w:rsidRDefault="00C07BAC">
            <w:pPr>
              <w:spacing w:line="360" w:lineRule="atLeast"/>
              <w:ind w:rightChars="15" w:right="31"/>
              <w:rPr>
                <w:rFonts w:ascii="宋体" w:hAnsi="宋体" w:cs="宋体"/>
                <w:kern w:val="0"/>
                <w:szCs w:val="21"/>
              </w:rPr>
            </w:pPr>
            <w:r>
              <w:rPr>
                <w:rFonts w:ascii="宋体" w:hAnsi="宋体"/>
                <w:szCs w:val="21"/>
              </w:rPr>
              <w:t>1</w:t>
            </w:r>
            <w:r>
              <w:rPr>
                <w:rFonts w:ascii="宋体" w:hAnsi="宋体"/>
                <w:szCs w:val="21"/>
              </w:rPr>
              <w:t>、</w:t>
            </w:r>
            <w:r>
              <w:rPr>
                <w:rFonts w:ascii="宋体" w:hAnsi="宋体" w:cs="宋体" w:hint="eastAsia"/>
                <w:kern w:val="0"/>
                <w:szCs w:val="21"/>
              </w:rPr>
              <w:t>认购资金在认购期按活期存款计息，不计入认购本金。</w:t>
            </w:r>
          </w:p>
          <w:p w:rsidR="00EB23FA" w:rsidRDefault="00C07BAC">
            <w:pPr>
              <w:spacing w:line="360" w:lineRule="atLeast"/>
              <w:ind w:rightChars="15" w:right="31"/>
              <w:rPr>
                <w:rFonts w:ascii="宋体" w:hAnsi="宋体"/>
                <w:szCs w:val="21"/>
              </w:rPr>
            </w:pPr>
            <w:r>
              <w:rPr>
                <w:rFonts w:ascii="宋体" w:hAnsi="宋体" w:cs="宋体"/>
                <w:kern w:val="0"/>
                <w:szCs w:val="21"/>
              </w:rPr>
              <w:t>2</w:t>
            </w:r>
            <w:r>
              <w:rPr>
                <w:rFonts w:ascii="宋体" w:hAnsi="宋体" w:cs="宋体"/>
                <w:kern w:val="0"/>
                <w:szCs w:val="21"/>
              </w:rPr>
              <w:t>、</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EB23FA" w:rsidRDefault="00C07BAC">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EB23FA">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center"/>
              <w:rPr>
                <w:rFonts w:ascii="宋体" w:hAnsi="宋体"/>
                <w:kern w:val="0"/>
                <w:szCs w:val="21"/>
              </w:rPr>
            </w:pPr>
            <w:r>
              <w:rPr>
                <w:rFonts w:ascii="宋体" w:hAnsi="宋体" w:hint="eastAsia"/>
                <w:kern w:val="0"/>
                <w:szCs w:val="21"/>
              </w:rPr>
              <w:t>认购冷静期</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left"/>
              <w:rPr>
                <w:rFonts w:ascii="宋体" w:hAnsi="宋体"/>
                <w:kern w:val="0"/>
                <w:szCs w:val="21"/>
              </w:rPr>
            </w:pPr>
            <w:r>
              <w:rPr>
                <w:rFonts w:ascii="宋体" w:hAnsi="宋体" w:hint="eastAsia"/>
                <w:kern w:val="0"/>
                <w:szCs w:val="21"/>
              </w:rPr>
              <w:t>自签订理财产品购买合同起，至</w:t>
            </w:r>
            <w:r>
              <w:rPr>
                <w:rFonts w:ascii="宋体" w:hAnsi="宋体" w:hint="eastAsia"/>
                <w:kern w:val="0"/>
                <w:szCs w:val="21"/>
                <w:u w:val="single"/>
              </w:rPr>
              <w:t>2026</w:t>
            </w:r>
            <w:r>
              <w:rPr>
                <w:rFonts w:ascii="宋体" w:hAnsi="宋体"/>
                <w:kern w:val="0"/>
                <w:szCs w:val="21"/>
              </w:rPr>
              <w:t>年</w:t>
            </w:r>
            <w:r>
              <w:rPr>
                <w:rFonts w:ascii="宋体" w:hAnsi="宋体" w:hint="eastAsia"/>
                <w:kern w:val="0"/>
                <w:szCs w:val="21"/>
                <w:u w:val="single"/>
              </w:rPr>
              <w:t>1</w:t>
            </w:r>
            <w:r>
              <w:rPr>
                <w:rFonts w:ascii="宋体" w:hAnsi="宋体"/>
                <w:kern w:val="0"/>
                <w:szCs w:val="21"/>
              </w:rPr>
              <w:t>月</w:t>
            </w:r>
            <w:r>
              <w:rPr>
                <w:rFonts w:ascii="宋体" w:hAnsi="宋体" w:hint="eastAsia"/>
                <w:kern w:val="0"/>
                <w:szCs w:val="21"/>
                <w:u w:val="single"/>
              </w:rPr>
              <w:t>8</w:t>
            </w:r>
            <w:r>
              <w:rPr>
                <w:rFonts w:ascii="宋体" w:hAnsi="宋体"/>
                <w:kern w:val="0"/>
                <w:szCs w:val="21"/>
              </w:rPr>
              <w:t>日</w:t>
            </w:r>
            <w:r>
              <w:rPr>
                <w:rFonts w:ascii="宋体" w:hAnsi="宋体" w:cs="宋体" w:hint="eastAsia"/>
                <w:szCs w:val="21"/>
                <w:u w:val="single"/>
              </w:rPr>
              <w:t>17:30</w:t>
            </w:r>
            <w:r>
              <w:rPr>
                <w:rFonts w:ascii="宋体" w:hAnsi="宋体" w:hint="eastAsia"/>
                <w:kern w:val="0"/>
                <w:szCs w:val="21"/>
              </w:rPr>
              <w:t>截止。</w:t>
            </w:r>
          </w:p>
          <w:p w:rsidR="00EB23FA" w:rsidRDefault="00C07BAC">
            <w:pPr>
              <w:spacing w:line="360" w:lineRule="atLeast"/>
              <w:ind w:rightChars="15" w:right="31"/>
              <w:rPr>
                <w:rFonts w:ascii="宋体" w:hAnsi="宋体"/>
              </w:rPr>
            </w:pPr>
            <w:r>
              <w:rPr>
                <w:rFonts w:ascii="宋体" w:hAnsi="宋体" w:hint="eastAsia"/>
              </w:rPr>
              <w:t>在认购冷静期内，投资者可解除已签订的理财产品购买合同，解除后认购资金解冻。</w:t>
            </w:r>
          </w:p>
          <w:p w:rsidR="00EB23FA" w:rsidRDefault="00C07BAC">
            <w:pPr>
              <w:spacing w:line="360" w:lineRule="atLeast"/>
              <w:ind w:rightChars="15" w:right="31"/>
              <w:rPr>
                <w:rFonts w:ascii="宋体" w:hAnsi="宋体" w:cs="宋体"/>
                <w:kern w:val="0"/>
                <w:szCs w:val="21"/>
              </w:rPr>
            </w:pPr>
            <w:r>
              <w:rPr>
                <w:rFonts w:ascii="宋体" w:hAnsi="宋体" w:hint="eastAsia"/>
              </w:rPr>
              <w:t>认购资金在认购冷静期按活期存款计息，不计入认购本金。</w:t>
            </w:r>
          </w:p>
        </w:tc>
      </w:tr>
      <w:tr w:rsidR="00EB23FA">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rPr>
                <w:rFonts w:ascii="宋体" w:hAnsi="宋体" w:cs="宋体"/>
                <w:kern w:val="0"/>
                <w:szCs w:val="21"/>
              </w:rPr>
            </w:pPr>
            <w:r>
              <w:rPr>
                <w:rFonts w:ascii="宋体" w:hAnsi="宋体"/>
                <w:kern w:val="0"/>
                <w:szCs w:val="21"/>
                <w:u w:val="single"/>
              </w:rPr>
              <w:t>202</w:t>
            </w:r>
            <w:r>
              <w:rPr>
                <w:rFonts w:ascii="宋体" w:hAnsi="宋体" w:hint="eastAsia"/>
                <w:kern w:val="0"/>
                <w:szCs w:val="21"/>
                <w:u w:val="single"/>
              </w:rPr>
              <w:t>6</w:t>
            </w:r>
            <w:r>
              <w:rPr>
                <w:rFonts w:ascii="宋体" w:hAnsi="宋体"/>
                <w:szCs w:val="21"/>
              </w:rPr>
              <w:t>年</w:t>
            </w:r>
            <w:r>
              <w:rPr>
                <w:rFonts w:ascii="宋体" w:hAnsi="宋体" w:hint="eastAsia"/>
                <w:kern w:val="0"/>
                <w:szCs w:val="21"/>
                <w:u w:val="single"/>
              </w:rPr>
              <w:t>1</w:t>
            </w:r>
            <w:r>
              <w:rPr>
                <w:rFonts w:ascii="宋体" w:hAnsi="宋体"/>
                <w:szCs w:val="21"/>
              </w:rPr>
              <w:t>月</w:t>
            </w:r>
            <w:r>
              <w:rPr>
                <w:rFonts w:ascii="宋体" w:hAnsi="宋体" w:hint="eastAsia"/>
                <w:kern w:val="0"/>
                <w:szCs w:val="21"/>
                <w:u w:val="single"/>
              </w:rPr>
              <w:t>9</w:t>
            </w:r>
            <w:r>
              <w:rPr>
                <w:rFonts w:ascii="宋体" w:hAnsi="宋体"/>
                <w:szCs w:val="21"/>
              </w:rPr>
              <w:t>日</w:t>
            </w:r>
            <w:r>
              <w:rPr>
                <w:rFonts w:ascii="宋体" w:hAnsi="宋体" w:hint="eastAsia"/>
                <w:szCs w:val="21"/>
              </w:rPr>
              <w:t>，指管理人对认购人提交的认购申请进行理财产品份额登记的日期。</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r>
              <w:rPr>
                <w:rFonts w:ascii="宋体" w:hAnsi="宋体"/>
                <w:kern w:val="0"/>
                <w:szCs w:val="21"/>
                <w:u w:val="single"/>
              </w:rPr>
              <w:t>202</w:t>
            </w:r>
            <w:r>
              <w:rPr>
                <w:rFonts w:ascii="宋体" w:hAnsi="宋体" w:hint="eastAsia"/>
                <w:kern w:val="0"/>
                <w:szCs w:val="21"/>
                <w:u w:val="single"/>
              </w:rPr>
              <w:t>6</w:t>
            </w:r>
            <w:r>
              <w:rPr>
                <w:rFonts w:ascii="宋体" w:hAnsi="宋体"/>
                <w:szCs w:val="21"/>
              </w:rPr>
              <w:t>年</w:t>
            </w:r>
            <w:r>
              <w:rPr>
                <w:rFonts w:ascii="宋体" w:hAnsi="宋体" w:hint="eastAsia"/>
                <w:kern w:val="0"/>
                <w:szCs w:val="21"/>
                <w:u w:val="single"/>
              </w:rPr>
              <w:t>1</w:t>
            </w:r>
            <w:r>
              <w:rPr>
                <w:rFonts w:ascii="宋体" w:hAnsi="宋体"/>
                <w:szCs w:val="21"/>
              </w:rPr>
              <w:t>月</w:t>
            </w:r>
            <w:r>
              <w:rPr>
                <w:rFonts w:ascii="宋体" w:hAnsi="宋体" w:hint="eastAsia"/>
                <w:kern w:val="0"/>
                <w:szCs w:val="21"/>
                <w:u w:val="single"/>
              </w:rPr>
              <w:t>9</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EB23FA">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w:t>
            </w:r>
            <w:r>
              <w:rPr>
                <w:rFonts w:ascii="宋体" w:hAnsi="宋体" w:cs="宋体" w:hint="eastAsia"/>
                <w:kern w:val="0"/>
                <w:szCs w:val="21"/>
              </w:rPr>
              <w:t>/</w:t>
            </w:r>
            <w:r>
              <w:rPr>
                <w:rFonts w:ascii="宋体" w:hAnsi="宋体" w:cs="宋体" w:hint="eastAsia"/>
                <w:kern w:val="0"/>
                <w:szCs w:val="21"/>
              </w:rPr>
              <w:t>到期日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rPr>
                <w:rFonts w:ascii="宋体" w:hAnsi="宋体"/>
                <w:kern w:val="0"/>
                <w:szCs w:val="21"/>
              </w:rPr>
            </w:pPr>
            <w:r>
              <w:rPr>
                <w:rFonts w:ascii="宋体" w:hAnsi="宋体" w:cs="宋体" w:hint="eastAsia"/>
                <w:b/>
                <w:bCs/>
                <w:szCs w:val="21"/>
                <w:u w:val="single"/>
              </w:rPr>
              <w:t>期限</w:t>
            </w:r>
            <w:r>
              <w:rPr>
                <w:rFonts w:ascii="宋体" w:hAnsi="宋体" w:cs="宋体" w:hint="eastAsia"/>
                <w:b/>
                <w:bCs/>
                <w:szCs w:val="21"/>
                <w:u w:val="single"/>
              </w:rPr>
              <w:t>377</w:t>
            </w:r>
            <w:r>
              <w:rPr>
                <w:rFonts w:ascii="宋体" w:hAnsi="宋体" w:cs="宋体" w:hint="eastAsia"/>
                <w:b/>
                <w:bCs/>
                <w:szCs w:val="21"/>
                <w:u w:val="single"/>
              </w:rPr>
              <w:t>天</w:t>
            </w:r>
            <w:r>
              <w:rPr>
                <w:rFonts w:ascii="宋体" w:hAnsi="宋体" w:cs="宋体" w:hint="eastAsia"/>
                <w:b/>
                <w:bCs/>
                <w:kern w:val="0"/>
                <w:szCs w:val="21"/>
              </w:rPr>
              <w:t>，到期日</w:t>
            </w:r>
            <w:r>
              <w:rPr>
                <w:rFonts w:ascii="宋体" w:hAnsi="宋体" w:cs="宋体" w:hint="eastAsia"/>
                <w:b/>
                <w:bCs/>
                <w:szCs w:val="21"/>
                <w:u w:val="single"/>
              </w:rPr>
              <w:t>202</w:t>
            </w:r>
            <w:r>
              <w:rPr>
                <w:rFonts w:ascii="宋体" w:hAnsi="宋体" w:cs="宋体" w:hint="eastAsia"/>
                <w:b/>
                <w:bCs/>
                <w:szCs w:val="21"/>
                <w:u w:val="single"/>
              </w:rPr>
              <w:t>7</w:t>
            </w:r>
            <w:r>
              <w:rPr>
                <w:rFonts w:ascii="宋体" w:hAnsi="宋体"/>
                <w:b/>
                <w:bCs/>
                <w:szCs w:val="21"/>
              </w:rPr>
              <w:t>年</w:t>
            </w:r>
            <w:r>
              <w:rPr>
                <w:rFonts w:ascii="宋体" w:hAnsi="宋体" w:cs="宋体" w:hint="eastAsia"/>
                <w:b/>
                <w:bCs/>
                <w:szCs w:val="21"/>
                <w:u w:val="single"/>
              </w:rPr>
              <w:t>1</w:t>
            </w:r>
            <w:r>
              <w:rPr>
                <w:rFonts w:ascii="宋体" w:hAnsi="宋体"/>
                <w:b/>
                <w:bCs/>
                <w:szCs w:val="21"/>
              </w:rPr>
              <w:t>月</w:t>
            </w:r>
            <w:r>
              <w:rPr>
                <w:rFonts w:ascii="宋体" w:hAnsi="宋体" w:cs="宋体" w:hint="eastAsia"/>
                <w:b/>
                <w:bCs/>
                <w:szCs w:val="21"/>
                <w:u w:val="single"/>
              </w:rPr>
              <w:t>21</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w:t>
            </w:r>
            <w:r>
              <w:rPr>
                <w:rFonts w:ascii="宋体" w:hAnsi="宋体" w:cs="宋体"/>
                <w:kern w:val="0"/>
                <w:szCs w:val="21"/>
              </w:rPr>
              <w:t>期内不计付利息。</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w:t>
            </w:r>
            <w:r>
              <w:rPr>
                <w:rFonts w:ascii="宋体" w:hAnsi="宋体" w:cs="宋体" w:hint="eastAsia"/>
                <w:kern w:val="0"/>
                <w:szCs w:val="21"/>
              </w:rPr>
              <w:t>2</w:t>
            </w:r>
            <w:r>
              <w:rPr>
                <w:rFonts w:ascii="宋体" w:hAnsi="宋体" w:cs="宋体" w:hint="eastAsia"/>
                <w:kern w:val="0"/>
                <w:szCs w:val="21"/>
              </w:rPr>
              <w:t>个工作日内公布理财产品的单位净值。产品管理人有权在法律法规、监管政策允许的前提下调整估值日。</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EB23FA">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u w:val="single"/>
              </w:rPr>
              <w:t>4</w:t>
            </w:r>
            <w:r>
              <w:rPr>
                <w:rFonts w:ascii="宋体" w:hAnsi="宋体" w:hint="eastAsia"/>
                <w:szCs w:val="21"/>
              </w:rPr>
              <w:t>位，小数点</w:t>
            </w:r>
            <w:r>
              <w:rPr>
                <w:rFonts w:ascii="宋体" w:hAnsi="宋体"/>
                <w:szCs w:val="21"/>
                <w:u w:val="single"/>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u w:val="single"/>
              </w:rPr>
              <w:t>1</w:t>
            </w:r>
            <w:r>
              <w:rPr>
                <w:rFonts w:ascii="宋体" w:hAnsi="宋体"/>
                <w:szCs w:val="21"/>
              </w:rPr>
              <w:t>元。</w:t>
            </w:r>
          </w:p>
        </w:tc>
      </w:tr>
      <w:tr w:rsidR="00EB23FA">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w:t>
            </w:r>
            <w:r>
              <w:rPr>
                <w:rFonts w:ascii="宋体" w:hAnsi="宋体" w:cs="宋体" w:hint="eastAsia"/>
                <w:kern w:val="0"/>
                <w:szCs w:val="21"/>
              </w:rPr>
              <w:t>20%</w:t>
            </w:r>
            <w:r>
              <w:rPr>
                <w:rFonts w:ascii="宋体" w:hAnsi="宋体" w:cs="宋体" w:hint="eastAsia"/>
                <w:kern w:val="0"/>
                <w:szCs w:val="21"/>
              </w:rPr>
              <w:t>的资金投资于符合监管要求的权益类资产。非因产品管理人主观因素导致突破具体类别资产比例限制的</w:t>
            </w:r>
            <w:r>
              <w:rPr>
                <w:rFonts w:ascii="宋体" w:hAnsi="宋体" w:cs="宋体" w:hint="eastAsia"/>
                <w:kern w:val="0"/>
                <w:szCs w:val="21"/>
              </w:rPr>
              <w:t>,</w:t>
            </w:r>
            <w:r>
              <w:rPr>
                <w:rFonts w:ascii="宋体" w:hAnsi="宋体" w:cs="宋体" w:hint="eastAsia"/>
                <w:kern w:val="0"/>
                <w:szCs w:val="21"/>
              </w:rPr>
              <w:t>产品管理人</w:t>
            </w:r>
            <w:r>
              <w:rPr>
                <w:rFonts w:ascii="宋体" w:hAnsi="宋体" w:cs="宋体" w:hint="eastAsia"/>
                <w:kern w:val="0"/>
                <w:szCs w:val="21"/>
              </w:rPr>
              <w:t>将</w:t>
            </w:r>
            <w:r>
              <w:rPr>
                <w:rFonts w:ascii="宋体" w:hAnsi="宋体" w:cs="宋体" w:hint="eastAsia"/>
                <w:kern w:val="0"/>
                <w:szCs w:val="21"/>
              </w:rPr>
              <w:t>在流动性受限资产可出售、可转让或者恢复交易的</w:t>
            </w:r>
            <w:r>
              <w:rPr>
                <w:rFonts w:ascii="宋体" w:hAnsi="宋体" w:cs="宋体" w:hint="eastAsia"/>
                <w:kern w:val="0"/>
                <w:szCs w:val="21"/>
                <w:u w:val="single"/>
              </w:rPr>
              <w:t>10</w:t>
            </w:r>
            <w:r>
              <w:rPr>
                <w:rFonts w:ascii="宋体" w:hAnsi="宋体" w:cs="宋体" w:hint="eastAsia"/>
                <w:kern w:val="0"/>
                <w:szCs w:val="21"/>
              </w:rPr>
              <w:t>个交易日内将理财产品投资比例调整至符合要求，国务院银行保险监督管理机构规定的特殊情况除外。</w:t>
            </w:r>
          </w:p>
          <w:p w:rsidR="00EB23FA" w:rsidRDefault="00C07BAC">
            <w:pPr>
              <w:spacing w:line="360" w:lineRule="atLeast"/>
              <w:ind w:rightChars="15" w:right="31"/>
              <w:rPr>
                <w:rFonts w:ascii="宋体" w:hAnsi="宋体" w:cs="宋体"/>
                <w:kern w:val="0"/>
                <w:szCs w:val="21"/>
              </w:rPr>
            </w:pPr>
            <w:r>
              <w:rPr>
                <w:rFonts w:ascii="宋体" w:hAnsi="宋体" w:cs="宋体" w:hint="eastAsia"/>
                <w:kern w:val="0"/>
                <w:szCs w:val="21"/>
              </w:rPr>
              <w:t>详见“二、理财产品投资范围”。</w:t>
            </w:r>
          </w:p>
        </w:tc>
      </w:tr>
      <w:tr w:rsidR="00EB23FA">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EB23FA" w:rsidRDefault="00C07BAC">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EB23FA" w:rsidRDefault="00C07BAC">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EB23FA">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left="-2" w:rightChars="15" w:right="31"/>
              <w:rPr>
                <w:rFonts w:ascii="宋体" w:hAnsi="宋体" w:cs="宋体"/>
                <w:kern w:val="0"/>
                <w:szCs w:val="21"/>
              </w:rPr>
            </w:pPr>
            <w:r>
              <w:rPr>
                <w:rFonts w:ascii="宋体" w:hAnsi="宋体" w:cs="宋体"/>
                <w:kern w:val="0"/>
                <w:szCs w:val="21"/>
              </w:rPr>
              <w:t>1.</w:t>
            </w:r>
            <w:r>
              <w:rPr>
                <w:rFonts w:ascii="宋体" w:hAnsi="宋体" w:cs="宋体"/>
                <w:kern w:val="0"/>
                <w:szCs w:val="21"/>
              </w:rPr>
              <w:t>认购费、申购费：本理财产品不收取认购费和申购费。</w:t>
            </w:r>
          </w:p>
          <w:p w:rsidR="00EB23FA" w:rsidRDefault="00C07BAC">
            <w:pPr>
              <w:spacing w:line="360" w:lineRule="atLeast"/>
              <w:ind w:left="-2" w:rightChars="15" w:right="31"/>
              <w:rPr>
                <w:rFonts w:ascii="宋体" w:hAnsi="宋体" w:cs="宋体"/>
                <w:kern w:val="0"/>
                <w:szCs w:val="21"/>
              </w:rPr>
            </w:pPr>
            <w:r>
              <w:rPr>
                <w:rFonts w:ascii="宋体" w:hAnsi="宋体" w:cs="宋体"/>
                <w:kern w:val="0"/>
                <w:szCs w:val="21"/>
              </w:rPr>
              <w:t>2.</w:t>
            </w:r>
            <w:r>
              <w:rPr>
                <w:rFonts w:ascii="宋体" w:hAnsi="宋体" w:cs="宋体"/>
                <w:kern w:val="0"/>
                <w:szCs w:val="21"/>
              </w:rPr>
              <w:t>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EB23FA" w:rsidRDefault="00C07BAC">
            <w:pPr>
              <w:spacing w:line="360" w:lineRule="atLeast"/>
              <w:ind w:left="-2"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0.2%</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EB23FA" w:rsidRDefault="00C07BAC">
            <w:pPr>
              <w:spacing w:line="360" w:lineRule="atLeast"/>
              <w:ind w:left="-2" w:rightChars="15" w:right="31"/>
              <w:rPr>
                <w:rFonts w:ascii="宋体" w:hAnsi="宋体" w:cs="宋体"/>
                <w:kern w:val="0"/>
                <w:szCs w:val="21"/>
              </w:rPr>
            </w:pPr>
            <w:r>
              <w:rPr>
                <w:rFonts w:ascii="宋体" w:hAnsi="宋体" w:cs="宋体"/>
                <w:kern w:val="0"/>
                <w:szCs w:val="21"/>
              </w:rPr>
              <w:t>4.</w:t>
            </w:r>
            <w:r>
              <w:rPr>
                <w:rFonts w:ascii="宋体" w:hAnsi="宋体" w:cs="宋体"/>
                <w:kern w:val="0"/>
                <w:szCs w:val="21"/>
              </w:rPr>
              <w:t>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0.5</w:t>
            </w:r>
            <w:r>
              <w:rPr>
                <w:rFonts w:ascii="宋体" w:hAnsi="宋体" w:cs="宋体" w:hint="eastAsia"/>
                <w:b/>
                <w:bCs/>
                <w:szCs w:val="21"/>
                <w:u w:val="single"/>
              </w:rPr>
              <w:t>%</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EB23FA" w:rsidRDefault="00C07BAC">
            <w:pPr>
              <w:spacing w:line="360" w:lineRule="atLeast"/>
              <w:ind w:left="-2" w:rightChars="15" w:right="31"/>
              <w:rPr>
                <w:rFonts w:ascii="宋体" w:hAnsi="宋体" w:cs="宋体"/>
                <w:kern w:val="0"/>
                <w:szCs w:val="21"/>
              </w:rPr>
            </w:pPr>
            <w:r>
              <w:rPr>
                <w:rFonts w:ascii="宋体" w:hAnsi="宋体" w:cs="宋体"/>
                <w:kern w:val="0"/>
                <w:szCs w:val="21"/>
              </w:rPr>
              <w:t>5.</w:t>
            </w:r>
            <w:r>
              <w:rPr>
                <w:rFonts w:ascii="宋体" w:hAnsi="宋体" w:cs="宋体"/>
                <w:kern w:val="0"/>
                <w:szCs w:val="21"/>
              </w:rPr>
              <w:t>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Pr>
                <w:rFonts w:ascii="宋体" w:hAnsi="宋体" w:cs="宋体" w:hint="eastAsia"/>
                <w:b/>
                <w:bCs/>
                <w:kern w:val="0"/>
                <w:szCs w:val="21"/>
                <w:u w:val="single"/>
              </w:rPr>
              <w:t>3.25%</w:t>
            </w:r>
            <w:r>
              <w:rPr>
                <w:rFonts w:ascii="宋体" w:hAnsi="宋体" w:cs="宋体" w:hint="eastAsia"/>
                <w:kern w:val="0"/>
                <w:szCs w:val="21"/>
              </w:rPr>
              <w:t>时，则超过部分收益管理人计提</w:t>
            </w:r>
            <w:r>
              <w:rPr>
                <w:rFonts w:ascii="宋体" w:hAnsi="宋体" w:cs="宋体" w:hint="eastAsia"/>
                <w:kern w:val="0"/>
                <w:szCs w:val="21"/>
                <w:u w:val="single"/>
              </w:rPr>
              <w:t>80%</w:t>
            </w:r>
            <w:r>
              <w:rPr>
                <w:rFonts w:ascii="宋体" w:hAnsi="宋体" w:cs="宋体" w:hint="eastAsia"/>
                <w:kern w:val="0"/>
                <w:szCs w:val="21"/>
              </w:rPr>
              <w:t>作为浮动管理费。按理财产品当日计提浮动管理费前的累计单位净值折算的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未达到</w:t>
            </w:r>
            <w:r>
              <w:rPr>
                <w:rFonts w:ascii="宋体" w:hAnsi="宋体" w:cs="宋体" w:hint="eastAsia"/>
                <w:b/>
                <w:bCs/>
                <w:kern w:val="0"/>
                <w:szCs w:val="21"/>
                <w:u w:val="single"/>
              </w:rPr>
              <w:t>3.25%</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w:t>
            </w:r>
            <w:r>
              <w:rPr>
                <w:rFonts w:ascii="宋体" w:hAnsi="宋体" w:cs="宋体" w:hint="eastAsia"/>
                <w:b/>
                <w:bCs/>
                <w:kern w:val="0"/>
                <w:szCs w:val="21"/>
                <w:u w:val="single"/>
              </w:rPr>
              <w:t>3.25%</w:t>
            </w:r>
            <w:r>
              <w:rPr>
                <w:rFonts w:ascii="宋体" w:hAnsi="宋体" w:cs="宋体" w:hint="eastAsia"/>
                <w:kern w:val="0"/>
                <w:szCs w:val="21"/>
              </w:rPr>
              <w:t>。浮动投资管理费精确到小数点后</w:t>
            </w:r>
            <w:r>
              <w:rPr>
                <w:rFonts w:ascii="宋体" w:hAnsi="宋体" w:cs="宋体" w:hint="eastAsia"/>
                <w:kern w:val="0"/>
                <w:szCs w:val="21"/>
              </w:rPr>
              <w:t>2</w:t>
            </w:r>
            <w:r>
              <w:rPr>
                <w:rFonts w:ascii="宋体" w:hAnsi="宋体" w:cs="宋体" w:hint="eastAsia"/>
                <w:kern w:val="0"/>
                <w:szCs w:val="21"/>
              </w:rPr>
              <w:t>位，小数点</w:t>
            </w:r>
            <w:r>
              <w:rPr>
                <w:rFonts w:ascii="宋体" w:hAnsi="宋体" w:cs="宋体" w:hint="eastAsia"/>
                <w:kern w:val="0"/>
                <w:szCs w:val="21"/>
              </w:rPr>
              <w:t>2</w:t>
            </w:r>
            <w:r>
              <w:rPr>
                <w:rFonts w:ascii="宋体" w:hAnsi="宋体" w:cs="宋体" w:hint="eastAsia"/>
                <w:kern w:val="0"/>
                <w:szCs w:val="21"/>
              </w:rPr>
              <w:t>位以后舍位。浮动管理费按日计提，在产品到期日支付。</w:t>
            </w:r>
          </w:p>
          <w:p w:rsidR="00EB23FA" w:rsidRDefault="00C07BAC">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EB23FA" w:rsidRDefault="00C07BAC">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EB23FA" w:rsidRDefault="00C07BAC">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w:t>
            </w:r>
            <w:r>
              <w:rPr>
                <w:rFonts w:ascii="宋体" w:hAnsi="宋体" w:cs="宋体" w:hint="eastAsia"/>
                <w:kern w:val="0"/>
                <w:szCs w:val="21"/>
              </w:rPr>
              <w:t>适用法律的规定，对本理财产品费用名目、收费条件、收费标准和收费方式进行调整。投资者对此无异议且同意在前述情况下继续持有本理财产品。</w:t>
            </w:r>
          </w:p>
        </w:tc>
      </w:tr>
      <w:tr w:rsidR="00EB23FA">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投资者可通过湖南银行指定网点和个人网银、手机银行、直销银行等渠道购买本产品（除另有书面约定外，中高风险、高风险的理财产品，只能在柜台购买）。</w:t>
            </w:r>
          </w:p>
        </w:tc>
      </w:tr>
      <w:tr w:rsidR="00EB23FA">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EB23FA">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EB23FA">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spacing w:line="360" w:lineRule="atLeast"/>
              <w:ind w:rightChars="15" w:right="31"/>
              <w:rPr>
                <w:rFonts w:ascii="宋体" w:hAnsi="宋体"/>
                <w:szCs w:val="21"/>
              </w:rPr>
            </w:pPr>
            <w:r>
              <w:rPr>
                <w:rFonts w:ascii="宋体" w:hAnsi="宋体" w:cs="宋体"/>
                <w:szCs w:val="21"/>
              </w:rPr>
              <w:t>1</w:t>
            </w:r>
            <w:r>
              <w:rPr>
                <w:rFonts w:ascii="宋体" w:hAnsi="宋体" w:cs="宋体"/>
                <w:szCs w:val="21"/>
              </w:rPr>
              <w:t>、本产品面临的风险包括信用风险、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EB23FA" w:rsidRDefault="00C07BAC">
            <w:pPr>
              <w:widowControl/>
              <w:spacing w:line="360" w:lineRule="atLeast"/>
              <w:ind w:left="-2" w:rightChars="15" w:right="31"/>
              <w:rPr>
                <w:rFonts w:ascii="宋体" w:hAnsi="宋体" w:cs="宋体"/>
                <w:kern w:val="0"/>
                <w:szCs w:val="21"/>
              </w:rPr>
            </w:pPr>
            <w:r>
              <w:rPr>
                <w:rFonts w:ascii="宋体" w:hAnsi="宋体" w:cs="宋体"/>
                <w:szCs w:val="21"/>
              </w:rPr>
              <w:t>2</w:t>
            </w:r>
            <w:r>
              <w:rPr>
                <w:rFonts w:ascii="宋体" w:hAnsi="宋体" w:cs="宋体"/>
                <w:szCs w:val="21"/>
              </w:rPr>
              <w:t>、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EB23FA">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EB23FA">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EB23FA" w:rsidRDefault="00C07BAC">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EB23FA" w:rsidRDefault="00C07BAC">
            <w:pPr>
              <w:widowControl/>
              <w:spacing w:line="360" w:lineRule="atLeast"/>
              <w:ind w:left="-2" w:rightChars="15" w:right="31"/>
              <w:rPr>
                <w:rFonts w:ascii="宋体" w:hAnsi="宋体"/>
                <w:b/>
                <w:kern w:val="0"/>
                <w:szCs w:val="21"/>
              </w:rPr>
            </w:pPr>
            <w:r>
              <w:rPr>
                <w:rFonts w:ascii="宋体" w:hAnsi="宋体" w:hint="eastAsia"/>
                <w:b/>
                <w:kern w:val="0"/>
                <w:szCs w:val="21"/>
              </w:rPr>
              <w:t xml:space="preserve"> 1</w:t>
            </w:r>
            <w:r>
              <w:rPr>
                <w:rFonts w:ascii="宋体" w:hAnsi="宋体" w:hint="eastAsia"/>
                <w:b/>
                <w:kern w:val="0"/>
                <w:szCs w:val="21"/>
              </w:rPr>
              <w:t>．在湖南银行官方网站（</w:t>
            </w:r>
            <w:r>
              <w:rPr>
                <w:rFonts w:ascii="宋体" w:hAnsi="宋体" w:hint="eastAsia"/>
                <w:b/>
                <w:kern w:val="0"/>
                <w:szCs w:val="21"/>
              </w:rPr>
              <w:t>https://www.hunan-bank.com</w:t>
            </w:r>
            <w:r>
              <w:rPr>
                <w:rFonts w:ascii="宋体" w:hAnsi="宋体" w:hint="eastAsia"/>
                <w:b/>
                <w:kern w:val="0"/>
                <w:szCs w:val="21"/>
              </w:rPr>
              <w:t>）公告上述信息；</w:t>
            </w:r>
          </w:p>
          <w:p w:rsidR="00EB23FA" w:rsidRDefault="00C07BAC">
            <w:pPr>
              <w:widowControl/>
              <w:spacing w:line="360" w:lineRule="atLeast"/>
              <w:ind w:left="-2" w:rightChars="15" w:right="31"/>
              <w:rPr>
                <w:rFonts w:ascii="宋体" w:hAnsi="宋体"/>
                <w:b/>
                <w:kern w:val="0"/>
                <w:szCs w:val="21"/>
              </w:rPr>
            </w:pPr>
            <w:r>
              <w:rPr>
                <w:rFonts w:ascii="宋体" w:hAnsi="宋体" w:hint="eastAsia"/>
                <w:b/>
                <w:kern w:val="0"/>
                <w:szCs w:val="21"/>
              </w:rPr>
              <w:t xml:space="preserve"> 2</w:t>
            </w:r>
            <w:r>
              <w:rPr>
                <w:rFonts w:ascii="宋体" w:hAnsi="宋体" w:hint="eastAsia"/>
                <w:b/>
                <w:kern w:val="0"/>
                <w:szCs w:val="21"/>
              </w:rPr>
              <w:t>．在本行营业网点根据投资者的要求，现场打印交易流水和份额供投资者核对；</w:t>
            </w:r>
          </w:p>
          <w:p w:rsidR="00EB23FA" w:rsidRDefault="00C07BAC">
            <w:pPr>
              <w:widowControl/>
              <w:spacing w:line="360" w:lineRule="atLeast"/>
              <w:ind w:left="-2" w:rightChars="15" w:right="31"/>
              <w:rPr>
                <w:rFonts w:ascii="宋体" w:hAnsi="宋体"/>
                <w:b/>
                <w:kern w:val="0"/>
                <w:szCs w:val="21"/>
              </w:rPr>
            </w:pPr>
            <w:r>
              <w:rPr>
                <w:rFonts w:ascii="宋体" w:hAnsi="宋体" w:hint="eastAsia"/>
                <w:b/>
                <w:kern w:val="0"/>
                <w:szCs w:val="21"/>
              </w:rPr>
              <w:t xml:space="preserve"> 3</w:t>
            </w:r>
            <w:r>
              <w:rPr>
                <w:rFonts w:ascii="宋体" w:hAnsi="宋体" w:hint="eastAsia"/>
                <w:b/>
                <w:kern w:val="0"/>
                <w:szCs w:val="21"/>
              </w:rPr>
              <w:t>．如本行认为需要直接联系客户的，本行亦可选择向客户在我行预留的联系方式或者有效变更的联系方式发出书面通知或短信。</w:t>
            </w:r>
          </w:p>
          <w:p w:rsidR="00EB23FA" w:rsidRDefault="00C07BAC">
            <w:pPr>
              <w:widowControl/>
              <w:spacing w:line="360" w:lineRule="atLeast"/>
              <w:ind w:left="-2" w:rightChars="15" w:right="31"/>
              <w:rPr>
                <w:rFonts w:ascii="宋体" w:hAnsi="宋体"/>
                <w:kern w:val="0"/>
                <w:szCs w:val="21"/>
              </w:rPr>
            </w:pPr>
            <w:r>
              <w:rPr>
                <w:rFonts w:ascii="宋体" w:hAnsi="宋体" w:hint="eastAsia"/>
                <w:b/>
                <w:kern w:val="0"/>
                <w:szCs w:val="21"/>
              </w:rPr>
              <w:t xml:space="preserve"> </w:t>
            </w:r>
            <w:r>
              <w:rPr>
                <w:rFonts w:ascii="宋体" w:hAnsi="宋体" w:hint="eastAsia"/>
                <w:b/>
                <w:kern w:val="0"/>
                <w:szCs w:val="21"/>
              </w:rPr>
              <w:t>本行通过以上渠道之一进行信息披露的，视为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EB23FA" w:rsidRDefault="00C07BAC">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EB23FA" w:rsidRDefault="00C07BAC">
      <w:pPr>
        <w:spacing w:line="360" w:lineRule="exact"/>
        <w:ind w:left="-2" w:rightChars="15" w:right="31" w:firstLineChars="200" w:firstLine="422"/>
        <w:rPr>
          <w:rFonts w:ascii="宋体" w:hAnsi="宋体" w:cs="宋体"/>
          <w:bCs/>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投资目标</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szCs w:val="21"/>
        </w:rPr>
        <w:t>本产品</w:t>
      </w:r>
      <w:r>
        <w:rPr>
          <w:rFonts w:ascii="宋体" w:hAnsi="宋体" w:cs="宋体" w:hint="eastAsia"/>
          <w:szCs w:val="21"/>
        </w:rPr>
        <w:t>主要投资固定收益类金融资产，</w:t>
      </w:r>
      <w:r>
        <w:rPr>
          <w:rFonts w:ascii="宋体" w:hAnsi="宋体" w:cs="宋体"/>
          <w:szCs w:val="21"/>
        </w:rPr>
        <w:t>包括非标准化债权类资产</w:t>
      </w:r>
      <w:r>
        <w:rPr>
          <w:rFonts w:ascii="宋体" w:hAnsi="宋体" w:cs="宋体" w:hint="eastAsia"/>
          <w:szCs w:val="21"/>
        </w:rPr>
        <w:t>，产品杠杆率不超</w:t>
      </w:r>
      <w:r>
        <w:rPr>
          <w:rFonts w:ascii="宋体" w:hAnsi="宋体" w:cs="宋体" w:hint="eastAsia"/>
          <w:szCs w:val="21"/>
        </w:rPr>
        <w:t>200%</w:t>
      </w:r>
      <w:r>
        <w:rPr>
          <w:rFonts w:ascii="宋体" w:hAnsi="宋体" w:cs="宋体" w:hint="eastAsia"/>
          <w:szCs w:val="21"/>
        </w:rPr>
        <w:t>。本产品将结合宏观经济走势、利率走势的判断，加强信用风险把控，做好固定收益类资产的配置，力争获取超过业绩比较基准的收益。</w:t>
      </w:r>
    </w:p>
    <w:p w:rsidR="00EB23FA" w:rsidRDefault="00C07BAC">
      <w:pPr>
        <w:spacing w:line="360" w:lineRule="exact"/>
        <w:ind w:left="-2" w:rightChars="15" w:right="31" w:firstLineChars="200" w:firstLine="422"/>
        <w:rPr>
          <w:rFonts w:ascii="宋体" w:hAnsi="宋体" w:cs="宋体"/>
          <w:b/>
          <w:szCs w:val="21"/>
        </w:rPr>
      </w:pPr>
      <w:r>
        <w:rPr>
          <w:rFonts w:ascii="宋体" w:hAnsi="宋体" w:cs="宋体" w:hint="eastAsia"/>
          <w:b/>
          <w:szCs w:val="21"/>
        </w:rPr>
        <w:t>2</w:t>
      </w:r>
      <w:r>
        <w:rPr>
          <w:rFonts w:ascii="宋体" w:hAnsi="宋体" w:cs="宋体" w:hint="eastAsia"/>
          <w:b/>
          <w:szCs w:val="21"/>
        </w:rPr>
        <w:t>.</w:t>
      </w:r>
      <w:r>
        <w:rPr>
          <w:rFonts w:ascii="宋体" w:hAnsi="宋体" w:cs="宋体" w:hint="eastAsia"/>
          <w:b/>
          <w:szCs w:val="21"/>
        </w:rPr>
        <w:t>投资范围</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本理财产品募集的资金投资于以下金融资产和金融工具：</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w:t>
      </w:r>
      <w:r>
        <w:rPr>
          <w:rFonts w:ascii="宋体" w:hAnsi="宋体" w:cs="宋体"/>
          <w:szCs w:val="21"/>
        </w:rPr>
        <w:t>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在银行间市场和交易所市场发行的资产支持证券、投资于标准化债权资产的公募证券投资基金等，以及</w:t>
      </w:r>
      <w:r>
        <w:rPr>
          <w:rFonts w:ascii="宋体" w:hAnsi="宋体" w:cs="宋体"/>
          <w:szCs w:val="21"/>
        </w:rPr>
        <w:t>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不限于底层为信托贷款的信托计划、</w:t>
      </w:r>
      <w:r>
        <w:rPr>
          <w:rFonts w:ascii="宋体" w:hAnsi="宋体" w:cs="宋体" w:hint="eastAsia"/>
          <w:szCs w:val="21"/>
        </w:rPr>
        <w:t>同业借款</w:t>
      </w:r>
      <w:r>
        <w:rPr>
          <w:rFonts w:ascii="宋体" w:hAnsi="宋体" w:cs="宋体"/>
          <w:szCs w:val="21"/>
        </w:rPr>
        <w:t>等非标准化债权资产</w:t>
      </w:r>
      <w:r>
        <w:rPr>
          <w:rFonts w:ascii="宋体" w:hAnsi="宋体" w:cs="宋体" w:hint="eastAsia"/>
          <w:szCs w:val="21"/>
        </w:rPr>
        <w:t>。</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szCs w:val="21"/>
        </w:rPr>
        <w:t>权益类金融资产：</w:t>
      </w:r>
      <w:r>
        <w:rPr>
          <w:rFonts w:ascii="宋体" w:hAnsi="宋体" w:cs="宋体" w:hint="eastAsia"/>
          <w:szCs w:val="21"/>
        </w:rPr>
        <w:t>包括但不限于</w:t>
      </w:r>
      <w:proofErr w:type="gramStart"/>
      <w:r>
        <w:rPr>
          <w:rFonts w:ascii="宋体" w:hAnsi="宋体" w:cs="宋体"/>
          <w:szCs w:val="21"/>
        </w:rPr>
        <w:t>权益类公募</w:t>
      </w:r>
      <w:proofErr w:type="gramEnd"/>
      <w:r>
        <w:rPr>
          <w:rFonts w:ascii="宋体" w:hAnsi="宋体" w:cs="宋体"/>
          <w:szCs w:val="21"/>
        </w:rPr>
        <w:t>证券投资基金</w:t>
      </w:r>
      <w:r>
        <w:rPr>
          <w:rFonts w:ascii="宋体" w:hAnsi="宋体" w:cs="宋体" w:hint="eastAsia"/>
          <w:szCs w:val="21"/>
        </w:rPr>
        <w:t>、</w:t>
      </w:r>
      <w:r>
        <w:rPr>
          <w:rFonts w:ascii="宋体" w:hAnsi="宋体" w:cs="宋体"/>
          <w:szCs w:val="21"/>
        </w:rPr>
        <w:t>投资</w:t>
      </w:r>
      <w:r>
        <w:rPr>
          <w:rFonts w:ascii="宋体" w:hAnsi="宋体" w:cs="宋体" w:hint="eastAsia"/>
          <w:szCs w:val="21"/>
        </w:rPr>
        <w:t>于</w:t>
      </w:r>
      <w:proofErr w:type="gramStart"/>
      <w:r>
        <w:rPr>
          <w:rFonts w:ascii="宋体" w:hAnsi="宋体" w:cs="宋体"/>
          <w:szCs w:val="21"/>
        </w:rPr>
        <w:t>权益类公募</w:t>
      </w:r>
      <w:proofErr w:type="gramEnd"/>
      <w:r>
        <w:rPr>
          <w:rFonts w:ascii="宋体" w:hAnsi="宋体" w:cs="宋体"/>
          <w:szCs w:val="21"/>
        </w:rPr>
        <w:t>证券投资基金</w:t>
      </w:r>
      <w:r>
        <w:rPr>
          <w:rFonts w:ascii="宋体" w:hAnsi="宋体" w:cs="宋体" w:hint="eastAsia"/>
          <w:szCs w:val="21"/>
        </w:rPr>
        <w:t>的产品、优先股等符合监管要求的权益类资产。</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）衍生品类金融资产：包括但不限于国债期货、利率互换以及投资于上述资产的产品及基金等。</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szCs w:val="21"/>
        </w:rPr>
        <w:t>在遵守相关法律法规、监管规则及本产品说明书约定，避免不公平交易、利益输送等违法违规行为的前提下，投资者知晓并同意本理财产品的投资对象可能包括理财产品管理人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销售服务机构及其关联方发行、承销、管理的符合本理财产品投资范围规定的投资产品，本理财产品可能与理财产品管理人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销售服务机构及其关联方管理的投资组合之间互为交易对手或从事其他类型的关联交易。</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本理财产品还可投资于其它符合监管要求的金融资产和金融工具，如法律法规或监管机构以后允许投资的其他品种，</w:t>
      </w:r>
      <w:r>
        <w:rPr>
          <w:rFonts w:ascii="宋体" w:hAnsi="宋体" w:cs="宋体" w:hint="eastAsia"/>
          <w:bCs/>
          <w:szCs w:val="21"/>
        </w:rPr>
        <w:t>管理人在履行适当程序后，可以将其纳入投资范围。</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托管人仅对上述列明具体品种的资产标的进行投资监督，若产品管理人拟投资未列出的标的，需于托管人签署补充协议增加投资范围内容后，方可进行投资。</w:t>
      </w:r>
    </w:p>
    <w:p w:rsidR="00EB23FA" w:rsidRDefault="00C07BAC">
      <w:pPr>
        <w:spacing w:line="360" w:lineRule="exact"/>
        <w:ind w:left="-2" w:rightChars="15" w:right="31" w:firstLineChars="200" w:firstLine="422"/>
        <w:rPr>
          <w:rFonts w:ascii="宋体" w:hAnsi="宋体" w:cs="宋体"/>
          <w:b/>
          <w:szCs w:val="21"/>
        </w:rPr>
      </w:pPr>
      <w:r>
        <w:rPr>
          <w:rFonts w:ascii="宋体" w:hAnsi="宋体" w:cs="宋体" w:hint="eastAsia"/>
          <w:b/>
          <w:szCs w:val="21"/>
        </w:rPr>
        <w:t>3</w:t>
      </w:r>
      <w:r>
        <w:rPr>
          <w:rFonts w:ascii="宋体" w:hAnsi="宋体" w:cs="宋体" w:hint="eastAsia"/>
          <w:b/>
          <w:szCs w:val="21"/>
        </w:rPr>
        <w:t>.</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EB23FA">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ind w:firstLineChars="200" w:firstLine="422"/>
              <w:jc w:val="left"/>
              <w:rPr>
                <w:rFonts w:ascii="宋体" w:hAnsi="宋体" w:cs="宋体"/>
                <w:bCs/>
                <w:szCs w:val="21"/>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ind w:firstLineChars="400" w:firstLine="843"/>
              <w:jc w:val="left"/>
              <w:rPr>
                <w:rFonts w:ascii="宋体" w:hAnsi="宋体" w:cs="宋体"/>
                <w:bCs/>
                <w:szCs w:val="21"/>
              </w:rPr>
            </w:pPr>
            <w:r>
              <w:rPr>
                <w:rFonts w:ascii="宋体" w:hAnsi="宋体" w:hint="eastAsia"/>
                <w:b/>
              </w:rPr>
              <w:t>计划配置比例</w:t>
            </w:r>
          </w:p>
        </w:tc>
      </w:tr>
      <w:tr w:rsidR="00EB23FA">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ind w:firstLineChars="200" w:firstLine="420"/>
              <w:rPr>
                <w:rFonts w:ascii="宋体" w:hAnsi="宋体" w:cs="宋体"/>
                <w:bCs/>
                <w:szCs w:val="21"/>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jc w:val="center"/>
              <w:rPr>
                <w:rFonts w:ascii="宋体" w:hAnsi="宋体" w:cs="宋体"/>
                <w:bCs/>
                <w:szCs w:val="21"/>
              </w:rPr>
            </w:pPr>
            <w:r>
              <w:rPr>
                <w:rFonts w:ascii="宋体" w:hAnsi="宋体" w:hint="eastAsia"/>
              </w:rPr>
              <w:t>不低于</w:t>
            </w:r>
            <w:r>
              <w:rPr>
                <w:rFonts w:ascii="宋体" w:hAnsi="宋体"/>
              </w:rPr>
              <w:t>80%</w:t>
            </w:r>
          </w:p>
        </w:tc>
      </w:tr>
      <w:tr w:rsidR="00EB23FA">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ind w:firstLineChars="200" w:firstLine="420"/>
              <w:rPr>
                <w:rFonts w:ascii="宋体" w:hAnsi="宋体" w:cs="宋体"/>
                <w:bCs/>
                <w:szCs w:val="21"/>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EB23FA" w:rsidRDefault="00C07BAC">
            <w:pPr>
              <w:autoSpaceDE w:val="0"/>
              <w:autoSpaceDN w:val="0"/>
              <w:adjustRightInd w:val="0"/>
              <w:snapToGrid w:val="0"/>
              <w:spacing w:line="336" w:lineRule="auto"/>
              <w:jc w:val="center"/>
              <w:rPr>
                <w:rFonts w:ascii="宋体" w:hAnsi="宋体" w:cs="宋体"/>
                <w:bCs/>
                <w:szCs w:val="21"/>
              </w:rPr>
            </w:pPr>
            <w:r>
              <w:rPr>
                <w:rFonts w:ascii="宋体" w:hAnsi="宋体"/>
              </w:rPr>
              <w:t>0%</w:t>
            </w:r>
            <w:r>
              <w:rPr>
                <w:rFonts w:ascii="宋体" w:hAnsi="宋体" w:hint="eastAsia"/>
              </w:rPr>
              <w:t>-20%</w:t>
            </w:r>
          </w:p>
        </w:tc>
      </w:tr>
    </w:tbl>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其中</w:t>
      </w:r>
      <w:r>
        <w:rPr>
          <w:rFonts w:ascii="宋体" w:hAnsi="宋体" w:cs="宋体" w:hint="eastAsia"/>
          <w:bCs/>
          <w:szCs w:val="21"/>
        </w:rPr>
        <w:t>,</w:t>
      </w:r>
      <w:r>
        <w:rPr>
          <w:rFonts w:ascii="宋体" w:hAnsi="宋体" w:cs="宋体" w:hint="eastAsia"/>
          <w:bCs/>
          <w:szCs w:val="21"/>
        </w:rPr>
        <w:t>各类资产配置比例是指其资产市值占理财产品资产总值的比例。</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相关法律法规和监管部门对以上投资范围和配置比例有另行规定的，按照监管最新规定执行。如监管对投资比例无其他明确规定和要求的，由产品管理人与托管人协商确定。</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产品管理人应当自理财产品成立日起六个月内使理财产品的投资组合比例符合约定。</w:t>
      </w:r>
    </w:p>
    <w:p w:rsidR="00EB23FA" w:rsidRDefault="00C07BAC">
      <w:pPr>
        <w:spacing w:line="360" w:lineRule="exact"/>
        <w:ind w:left="-2" w:rightChars="15" w:right="31" w:firstLineChars="200" w:firstLine="422"/>
        <w:rPr>
          <w:rFonts w:ascii="宋体" w:hAnsi="宋体" w:cs="宋体"/>
          <w:b/>
          <w:szCs w:val="21"/>
        </w:rPr>
      </w:pPr>
      <w:r>
        <w:rPr>
          <w:rFonts w:ascii="宋体" w:hAnsi="宋体" w:cs="宋体" w:hint="eastAsia"/>
          <w:b/>
          <w:szCs w:val="21"/>
        </w:rPr>
        <w:t>4</w:t>
      </w:r>
      <w:r>
        <w:rPr>
          <w:rFonts w:ascii="宋体" w:hAnsi="宋体" w:cs="宋体" w:hint="eastAsia"/>
          <w:b/>
          <w:szCs w:val="21"/>
        </w:rPr>
        <w:t>.</w:t>
      </w:r>
      <w:r>
        <w:rPr>
          <w:rFonts w:ascii="宋体" w:hAnsi="宋体" w:cs="宋体" w:hint="eastAsia"/>
          <w:b/>
          <w:szCs w:val="21"/>
        </w:rPr>
        <w:t>投资限制</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）对本产品的集中度要求如下：</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管理人发行的全部理财产品投资单一上市公司发行的股票不得超过该上市公司可流通股票的</w:t>
      </w:r>
      <w:r>
        <w:rPr>
          <w:rFonts w:ascii="宋体" w:hAnsi="宋体" w:cs="宋体" w:hint="eastAsia"/>
          <w:bCs/>
          <w:szCs w:val="21"/>
        </w:rPr>
        <w:t>30%</w:t>
      </w:r>
      <w:r>
        <w:rPr>
          <w:rFonts w:ascii="宋体" w:hAnsi="宋体" w:cs="宋体" w:hint="eastAsia"/>
          <w:bCs/>
          <w:szCs w:val="21"/>
        </w:rPr>
        <w:t>；</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w:t>
      </w:r>
      <w:r>
        <w:rPr>
          <w:rFonts w:ascii="宋体" w:hAnsi="宋体" w:cs="宋体" w:hint="eastAsia"/>
          <w:bCs/>
          <w:szCs w:val="21"/>
        </w:rPr>
        <w:t>10</w:t>
      </w:r>
      <w:r>
        <w:rPr>
          <w:rFonts w:ascii="宋体" w:hAnsi="宋体" w:cs="宋体" w:hint="eastAsia"/>
          <w:bCs/>
          <w:szCs w:val="21"/>
        </w:rPr>
        <w:t>个交易日内调整至符合相关要求。</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）本理财产品总资产</w:t>
      </w:r>
      <w:r>
        <w:rPr>
          <w:rFonts w:ascii="宋体" w:hAnsi="宋体" w:cs="宋体" w:hint="eastAsia"/>
          <w:bCs/>
          <w:szCs w:val="21"/>
        </w:rPr>
        <w:t>/</w:t>
      </w:r>
      <w:r>
        <w:rPr>
          <w:rFonts w:ascii="宋体" w:hAnsi="宋体" w:cs="宋体" w:hint="eastAsia"/>
          <w:bCs/>
          <w:szCs w:val="21"/>
        </w:rPr>
        <w:t>理财产品净资产不超过</w:t>
      </w:r>
      <w:r>
        <w:rPr>
          <w:rFonts w:ascii="宋体" w:hAnsi="宋体" w:cs="宋体" w:hint="eastAsia"/>
          <w:bCs/>
          <w:szCs w:val="21"/>
        </w:rPr>
        <w:t>200%</w:t>
      </w:r>
      <w:r>
        <w:rPr>
          <w:rFonts w:ascii="宋体" w:hAnsi="宋体" w:cs="宋体" w:hint="eastAsia"/>
          <w:bCs/>
          <w:szCs w:val="21"/>
        </w:rPr>
        <w:t>。</w:t>
      </w:r>
    </w:p>
    <w:p w:rsidR="00EB23FA" w:rsidRDefault="00C07BAC">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EB23FA" w:rsidRDefault="00C07BAC">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EB23FA" w:rsidRDefault="00C07BAC">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EB23FA" w:rsidRDefault="00C07BAC">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）认购方式：本产品采用金额认购。</w:t>
      </w:r>
    </w:p>
    <w:p w:rsidR="00EB23FA" w:rsidRDefault="00C07BAC">
      <w:pPr>
        <w:spacing w:line="360" w:lineRule="exact"/>
        <w:ind w:rightChars="15" w:right="31" w:firstLineChars="200" w:firstLine="420"/>
        <w:rPr>
          <w:rFonts w:ascii="宋体" w:hAnsi="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湖南</w:t>
      </w:r>
      <w:r>
        <w:rPr>
          <w:rFonts w:ascii="宋体" w:hAnsi="宋体" w:cs="宋体" w:hint="eastAsia"/>
          <w:szCs w:val="21"/>
        </w:rPr>
        <w:t>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w:t>
      </w:r>
      <w:r>
        <w:rPr>
          <w:rFonts w:hint="eastAsia"/>
          <w:color w:val="auto"/>
          <w:kern w:val="2"/>
          <w:sz w:val="21"/>
          <w:szCs w:val="21"/>
        </w:rPr>
        <w:t>1</w:t>
      </w:r>
      <w:r>
        <w:rPr>
          <w:rFonts w:hint="eastAsia"/>
          <w:color w:val="auto"/>
          <w:kern w:val="2"/>
          <w:sz w:val="21"/>
          <w:szCs w:val="21"/>
        </w:rPr>
        <w:t>万份。</w:t>
      </w:r>
    </w:p>
    <w:p w:rsidR="00EB23FA" w:rsidRDefault="00C07BAC">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）投资者在认购期内的认购申请被受理后，认购款项应同时以人民币资金形式存入</w:t>
      </w:r>
      <w:r>
        <w:rPr>
          <w:rFonts w:ascii="宋体" w:hAnsi="宋体" w:cs="宋体" w:hint="eastAsia"/>
          <w:szCs w:val="21"/>
        </w:rPr>
        <w:t>湖南</w:t>
      </w:r>
      <w:r>
        <w:rPr>
          <w:rFonts w:ascii="宋体" w:hAnsi="宋体" w:cs="宋体" w:hint="eastAsia"/>
          <w:szCs w:val="21"/>
        </w:rPr>
        <w:t>银行，且</w:t>
      </w:r>
      <w:r>
        <w:rPr>
          <w:rFonts w:ascii="宋体" w:hAnsi="宋体" w:cs="宋体" w:hint="eastAsia"/>
          <w:szCs w:val="21"/>
        </w:rPr>
        <w:t>湖南</w:t>
      </w:r>
      <w:r>
        <w:rPr>
          <w:rFonts w:ascii="宋体" w:hAnsi="宋体" w:cs="宋体" w:hint="eastAsia"/>
          <w:szCs w:val="21"/>
        </w:rPr>
        <w:t>银行有权冻结该部分资金。该部分资金自认购之日（含）起，至认购登记日（不含）止，以活期计付利息。</w:t>
      </w:r>
    </w:p>
    <w:p w:rsidR="00EB23FA" w:rsidRDefault="00C07BAC">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w:t>
      </w:r>
      <w:r>
        <w:rPr>
          <w:color w:val="auto"/>
          <w:kern w:val="2"/>
          <w:sz w:val="21"/>
          <w:szCs w:val="21"/>
        </w:rPr>
        <w:t>=</w:t>
      </w:r>
      <w:r>
        <w:rPr>
          <w:color w:val="auto"/>
          <w:kern w:val="2"/>
          <w:sz w:val="21"/>
          <w:szCs w:val="21"/>
        </w:rPr>
        <w:t>人民币认购金额</w:t>
      </w:r>
      <w:r>
        <w:rPr>
          <w:rFonts w:hint="eastAsia"/>
          <w:color w:val="auto"/>
          <w:szCs w:val="21"/>
        </w:rPr>
        <w:t>×</w:t>
      </w:r>
      <w:r>
        <w:rPr>
          <w:rFonts w:hint="eastAsia"/>
          <w:color w:val="auto"/>
          <w:kern w:val="2"/>
          <w:sz w:val="21"/>
          <w:szCs w:val="21"/>
        </w:rPr>
        <w:t>（</w:t>
      </w:r>
      <w:r>
        <w:rPr>
          <w:color w:val="auto"/>
          <w:kern w:val="2"/>
          <w:sz w:val="21"/>
          <w:szCs w:val="21"/>
        </w:rPr>
        <w:t>1-</w:t>
      </w:r>
      <w:r>
        <w:rPr>
          <w:color w:val="auto"/>
          <w:kern w:val="2"/>
          <w:sz w:val="21"/>
          <w:szCs w:val="21"/>
        </w:rPr>
        <w:t>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w:t>
      </w:r>
      <w:r>
        <w:rPr>
          <w:rFonts w:hint="eastAsia"/>
          <w:color w:val="auto"/>
          <w:kern w:val="2"/>
          <w:sz w:val="21"/>
          <w:szCs w:val="21"/>
        </w:rPr>
        <w:t>1</w:t>
      </w:r>
      <w:r>
        <w:rPr>
          <w:rFonts w:hint="eastAsia"/>
          <w:color w:val="auto"/>
          <w:kern w:val="2"/>
          <w:sz w:val="21"/>
          <w:szCs w:val="21"/>
        </w:rPr>
        <w:t>，认购份额精确到小数点后</w:t>
      </w:r>
      <w:r>
        <w:rPr>
          <w:color w:val="auto"/>
          <w:kern w:val="2"/>
          <w:sz w:val="21"/>
          <w:szCs w:val="21"/>
        </w:rPr>
        <w:t>2</w:t>
      </w:r>
      <w:r>
        <w:rPr>
          <w:color w:val="auto"/>
          <w:kern w:val="2"/>
          <w:sz w:val="21"/>
          <w:szCs w:val="21"/>
        </w:rPr>
        <w:t>位，小数点</w:t>
      </w:r>
      <w:r>
        <w:rPr>
          <w:color w:val="auto"/>
          <w:kern w:val="2"/>
          <w:sz w:val="21"/>
          <w:szCs w:val="21"/>
        </w:rPr>
        <w:t>2</w:t>
      </w:r>
      <w:r>
        <w:rPr>
          <w:color w:val="auto"/>
          <w:kern w:val="2"/>
          <w:sz w:val="21"/>
          <w:szCs w:val="21"/>
        </w:rPr>
        <w:t>位以后</w:t>
      </w:r>
      <w:r>
        <w:rPr>
          <w:rFonts w:hint="eastAsia"/>
          <w:szCs w:val="21"/>
        </w:rPr>
        <w:t>按去尾原则处理</w:t>
      </w:r>
      <w:r>
        <w:rPr>
          <w:rFonts w:hint="eastAsia"/>
          <w:color w:val="auto"/>
          <w:kern w:val="2"/>
          <w:sz w:val="21"/>
          <w:szCs w:val="21"/>
        </w:rPr>
        <w:t>。</w:t>
      </w:r>
    </w:p>
    <w:p w:rsidR="00EB23FA" w:rsidRDefault="00C07BAC">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EB23FA" w:rsidRDefault="00C07BAC">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估值主要原则</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持有的银行定期存款或协议存款以本金列示，按协议或合同利率逐日确认利息收入。</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w:t>
      </w:r>
      <w:r>
        <w:rPr>
          <w:rFonts w:hint="eastAsia"/>
          <w:color w:val="auto"/>
          <w:kern w:val="2"/>
          <w:sz w:val="21"/>
          <w:szCs w:val="21"/>
        </w:rPr>
        <w:t>投资债券、资产支持证券等标准化债权类资产的估值方法</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采用公允价值计量的标准化债权类资产</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对全国银行</w:t>
      </w:r>
      <w:r>
        <w:rPr>
          <w:rFonts w:hint="eastAsia"/>
          <w:color w:val="auto"/>
          <w:kern w:val="2"/>
          <w:sz w:val="21"/>
          <w:szCs w:val="21"/>
        </w:rPr>
        <w:t>间市场上不含权的标准化债权类资产，按照第三方估值机构提供的相应品种当日的估值净价估值。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w:t>
      </w:r>
      <w:r>
        <w:rPr>
          <w:rFonts w:hint="eastAsia"/>
          <w:color w:val="auto"/>
          <w:kern w:val="2"/>
          <w:sz w:val="21"/>
          <w:szCs w:val="21"/>
        </w:rPr>
        <w:t>债券所处的市场的估值方法分别估值。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EB23FA" w:rsidRDefault="00C07BAC">
      <w:pPr>
        <w:pStyle w:val="Default"/>
        <w:spacing w:line="360" w:lineRule="exact"/>
        <w:rPr>
          <w:color w:val="auto"/>
          <w:kern w:val="2"/>
          <w:sz w:val="21"/>
          <w:szCs w:val="21"/>
        </w:rPr>
      </w:pPr>
      <w:r>
        <w:rPr>
          <w:rFonts w:hint="eastAsia"/>
          <w:color w:val="auto"/>
          <w:kern w:val="2"/>
          <w:sz w:val="21"/>
          <w:szCs w:val="21"/>
        </w:rPr>
        <w:t xml:space="preserve">    </w:t>
      </w:r>
      <w:r>
        <w:rPr>
          <w:rFonts w:hint="eastAsia"/>
          <w:color w:val="auto"/>
          <w:kern w:val="2"/>
          <w:sz w:val="21"/>
          <w:szCs w:val="21"/>
        </w:rPr>
        <w:t>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w:t>
      </w:r>
      <w:r>
        <w:rPr>
          <w:rFonts w:hint="eastAsia"/>
          <w:color w:val="auto"/>
          <w:kern w:val="2"/>
          <w:sz w:val="21"/>
          <w:szCs w:val="21"/>
        </w:rPr>
        <w:t>投资证券投资基金的估值方法</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对于交易所上市的</w:t>
      </w:r>
      <w:r>
        <w:rPr>
          <w:rFonts w:hint="eastAsia"/>
          <w:color w:val="auto"/>
          <w:kern w:val="2"/>
          <w:sz w:val="21"/>
          <w:szCs w:val="21"/>
        </w:rPr>
        <w:t>ETF</w:t>
      </w:r>
      <w:r>
        <w:rPr>
          <w:rFonts w:hint="eastAsia"/>
          <w:color w:val="auto"/>
          <w:kern w:val="2"/>
          <w:sz w:val="21"/>
          <w:szCs w:val="21"/>
        </w:rPr>
        <w:t>基金、定期开放式基金、封闭式基金，按其所在证券交易所的收盘价估值；</w:t>
      </w:r>
      <w:r>
        <w:rPr>
          <w:rFonts w:hint="eastAsia"/>
          <w:color w:val="auto"/>
          <w:kern w:val="2"/>
          <w:sz w:val="21"/>
          <w:szCs w:val="21"/>
        </w:rPr>
        <w:t xml:space="preserve"> </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w:t>
      </w:r>
      <w:r>
        <w:rPr>
          <w:rFonts w:hint="eastAsia"/>
          <w:color w:val="auto"/>
          <w:kern w:val="2"/>
          <w:sz w:val="21"/>
          <w:szCs w:val="21"/>
        </w:rPr>
        <w:t>LOF</w:t>
      </w:r>
      <w:r>
        <w:rPr>
          <w:rFonts w:hint="eastAsia"/>
          <w:color w:val="auto"/>
          <w:kern w:val="2"/>
          <w:sz w:val="21"/>
          <w:szCs w:val="21"/>
        </w:rPr>
        <w:t>），按所投资基金的基金管理人披露的估值日份额净值进行估值。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w:t>
      </w:r>
      <w:r>
        <w:rPr>
          <w:rFonts w:hint="eastAsia"/>
          <w:color w:val="auto"/>
          <w:kern w:val="2"/>
          <w:sz w:val="21"/>
          <w:szCs w:val="21"/>
        </w:rPr>
        <w:t>基金管理人披露份额净值，则按所投资基金的基金管理人披露的估值日份额净值进行估值；如基金管理人披露万份（百份）收益，则按所投资基金前一估值日后至估值日期间（含节假日）的万份（百份）收益计提收益。</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对于未在交易所上市的场外基金，按估值日前一交易日的基金份额净值估值；</w:t>
      </w:r>
      <w:r>
        <w:rPr>
          <w:rFonts w:hint="eastAsia"/>
          <w:color w:val="auto"/>
          <w:kern w:val="2"/>
          <w:sz w:val="21"/>
          <w:szCs w:val="21"/>
        </w:rPr>
        <w:t xml:space="preserve"> </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EB23FA" w:rsidRDefault="00C07BAC">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w:t>
      </w:r>
      <w:r>
        <w:rPr>
          <w:rFonts w:hint="eastAsia"/>
          <w:color w:val="auto"/>
          <w:kern w:val="2"/>
          <w:sz w:val="21"/>
          <w:szCs w:val="21"/>
        </w:rPr>
        <w:t>产品估值频率一致但未公布估值日基金份额净值，以其最近公布的基金份额净值为基础估值。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rFonts w:hint="eastAsia"/>
          <w:color w:val="auto"/>
          <w:kern w:val="2"/>
          <w:sz w:val="21"/>
          <w:szCs w:val="21"/>
        </w:rPr>
        <w:t>）</w:t>
      </w:r>
      <w:r>
        <w:rPr>
          <w:rFonts w:hint="eastAsia"/>
          <w:color w:val="auto"/>
          <w:kern w:val="2"/>
          <w:sz w:val="21"/>
          <w:szCs w:val="21"/>
        </w:rPr>
        <w:t>投资资产</w:t>
      </w:r>
      <w:r>
        <w:rPr>
          <w:rFonts w:hint="eastAsia"/>
          <w:color w:val="auto"/>
          <w:kern w:val="2"/>
          <w:sz w:val="21"/>
          <w:szCs w:val="21"/>
        </w:rPr>
        <w:t>管理产品、非标债权或其它特殊目的载体等的估值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资产管理产品、非标债权或其它特殊目的载体等披露份额净值的，按最近一日的份额净值估值。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资产管理产品、非标债权或其它特殊目的载体等披露收益率的，按成本估值，按收益率计提收益。</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6</w:t>
      </w:r>
      <w:r>
        <w:rPr>
          <w:rFonts w:hint="eastAsia"/>
          <w:color w:val="auto"/>
          <w:kern w:val="2"/>
          <w:sz w:val="21"/>
          <w:szCs w:val="21"/>
        </w:rPr>
        <w:t>）</w:t>
      </w:r>
      <w:r>
        <w:rPr>
          <w:rFonts w:hint="eastAsia"/>
          <w:color w:val="auto"/>
          <w:kern w:val="2"/>
          <w:sz w:val="21"/>
          <w:szCs w:val="21"/>
        </w:rPr>
        <w:t>债券回购以成本列示，按协议利率在实际持有期间内逐日计提利息。</w:t>
      </w:r>
      <w:r>
        <w:rPr>
          <w:rFonts w:hint="eastAsia"/>
          <w:color w:val="auto"/>
          <w:kern w:val="2"/>
          <w:sz w:val="21"/>
          <w:szCs w:val="21"/>
        </w:rPr>
        <w:t xml:space="preserve"> </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w:t>
      </w:r>
      <w:r>
        <w:rPr>
          <w:rFonts w:hint="eastAsia"/>
          <w:color w:val="auto"/>
          <w:kern w:val="2"/>
          <w:sz w:val="21"/>
          <w:szCs w:val="21"/>
        </w:rPr>
        <w:t>致日起执行。</w:t>
      </w:r>
      <w:r>
        <w:rPr>
          <w:rFonts w:hint="eastAsia"/>
          <w:color w:val="auto"/>
          <w:kern w:val="2"/>
          <w:sz w:val="21"/>
          <w:szCs w:val="21"/>
        </w:rPr>
        <w:t xml:space="preserve"> </w:t>
      </w:r>
    </w:p>
    <w:p w:rsidR="00EB23FA" w:rsidRDefault="00C07BAC">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EB23FA" w:rsidRDefault="00C07BAC">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）理财产品投资的信托计划</w:t>
      </w:r>
      <w:r>
        <w:rPr>
          <w:rFonts w:hint="eastAsia"/>
          <w:color w:val="auto"/>
          <w:kern w:val="2"/>
          <w:sz w:val="21"/>
          <w:szCs w:val="21"/>
        </w:rPr>
        <w:t>/</w:t>
      </w:r>
      <w:proofErr w:type="gramStart"/>
      <w:r>
        <w:rPr>
          <w:rFonts w:hint="eastAsia"/>
          <w:color w:val="auto"/>
          <w:kern w:val="2"/>
          <w:sz w:val="21"/>
          <w:szCs w:val="21"/>
        </w:rPr>
        <w:t>资管计划</w:t>
      </w:r>
      <w:proofErr w:type="gramEnd"/>
      <w:r>
        <w:rPr>
          <w:rFonts w:hint="eastAsia"/>
          <w:color w:val="auto"/>
          <w:kern w:val="2"/>
          <w:sz w:val="21"/>
          <w:szCs w:val="21"/>
        </w:rPr>
        <w:t>/</w:t>
      </w:r>
      <w:r>
        <w:rPr>
          <w:rFonts w:hint="eastAsia"/>
          <w:color w:val="auto"/>
          <w:kern w:val="2"/>
          <w:sz w:val="21"/>
          <w:szCs w:val="21"/>
        </w:rPr>
        <w:t>基金合同约定暂停估值或无法估值的情形发生，导致理财产品无法估值的；</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）当前一估值日理财产品资产净值</w:t>
      </w:r>
      <w:r>
        <w:rPr>
          <w:rFonts w:hint="eastAsia"/>
          <w:color w:val="auto"/>
          <w:kern w:val="2"/>
          <w:sz w:val="21"/>
          <w:szCs w:val="21"/>
        </w:rPr>
        <w:t>50%</w:t>
      </w:r>
      <w:r>
        <w:rPr>
          <w:rFonts w:hint="eastAsia"/>
          <w:color w:val="auto"/>
          <w:kern w:val="2"/>
          <w:sz w:val="21"/>
          <w:szCs w:val="21"/>
        </w:rPr>
        <w:t>以上的资产不具备活跃交易市场或者在活跃市场中无报价，且不能采用估值技术可靠计量公允价值时；</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rFonts w:hint="eastAsia"/>
          <w:color w:val="auto"/>
          <w:kern w:val="2"/>
          <w:sz w:val="21"/>
          <w:szCs w:val="21"/>
        </w:rPr>
        <w:t>）产品管理人、托管人有合理理由认为将影响本理财产品估值的其他情形发生。</w:t>
      </w:r>
    </w:p>
    <w:p w:rsidR="00EB23FA" w:rsidRDefault="00C07BAC">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w:t>
      </w:r>
      <w:r>
        <w:rPr>
          <w:color w:val="auto"/>
          <w:kern w:val="2"/>
          <w:sz w:val="21"/>
          <w:szCs w:val="21"/>
        </w:rPr>
        <w:t>位以内</w:t>
      </w:r>
      <w:r>
        <w:rPr>
          <w:color w:val="auto"/>
          <w:kern w:val="2"/>
          <w:sz w:val="21"/>
          <w:szCs w:val="21"/>
        </w:rPr>
        <w:t>(</w:t>
      </w:r>
      <w:r>
        <w:rPr>
          <w:color w:val="auto"/>
          <w:kern w:val="2"/>
          <w:sz w:val="21"/>
          <w:szCs w:val="21"/>
        </w:rPr>
        <w:t>含</w:t>
      </w:r>
      <w:r>
        <w:rPr>
          <w:color w:val="auto"/>
          <w:kern w:val="2"/>
          <w:sz w:val="21"/>
          <w:szCs w:val="21"/>
        </w:rPr>
        <w:t>4</w:t>
      </w:r>
      <w:r>
        <w:rPr>
          <w:color w:val="auto"/>
          <w:kern w:val="2"/>
          <w:sz w:val="21"/>
          <w:szCs w:val="21"/>
        </w:rPr>
        <w:t>位</w:t>
      </w:r>
      <w:r>
        <w:rPr>
          <w:color w:val="auto"/>
          <w:kern w:val="2"/>
          <w:sz w:val="21"/>
          <w:szCs w:val="21"/>
        </w:rPr>
        <w:t>)</w:t>
      </w:r>
      <w:r>
        <w:rPr>
          <w:color w:val="auto"/>
          <w:kern w:val="2"/>
          <w:sz w:val="21"/>
          <w:szCs w:val="21"/>
        </w:rPr>
        <w:t>发生估值错误时，视为理财产品单位净值错误。</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w:t>
      </w:r>
      <w:r>
        <w:rPr>
          <w:color w:val="auto"/>
          <w:kern w:val="2"/>
          <w:sz w:val="21"/>
          <w:szCs w:val="21"/>
        </w:rPr>
        <w:t>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w:t>
      </w:r>
      <w:r>
        <w:rPr>
          <w:color w:val="auto"/>
          <w:kern w:val="2"/>
          <w:sz w:val="21"/>
          <w:szCs w:val="21"/>
        </w:rPr>
        <w:t>照过错程度各自对该估值错误导致投资者遭受的直接损失给予赔偿，承担赔偿责任。</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w:t>
      </w:r>
      <w:r>
        <w:rPr>
          <w:color w:val="auto"/>
          <w:kern w:val="2"/>
          <w:sz w:val="21"/>
          <w:szCs w:val="21"/>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w:t>
      </w:r>
      <w:r>
        <w:rPr>
          <w:color w:val="auto"/>
          <w:kern w:val="2"/>
          <w:sz w:val="21"/>
          <w:szCs w:val="21"/>
        </w:rPr>
        <w:t>按法律法规规定的其他原则处理估值错误。</w:t>
      </w:r>
    </w:p>
    <w:p w:rsidR="00EB23FA" w:rsidRDefault="00C07BAC">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）由于不可抗力原因，或由于证券交易所、期货交易所、第三方估值机构、信托公司、基金公司等发送数据错误等非产品管理人和托管人原因，</w:t>
      </w:r>
      <w:r>
        <w:rPr>
          <w:rFonts w:hint="eastAsia"/>
          <w:color w:val="auto"/>
          <w:kern w:val="2"/>
          <w:sz w:val="21"/>
          <w:szCs w:val="21"/>
        </w:rPr>
        <w:t>产品管理人和托管人</w:t>
      </w:r>
      <w:r>
        <w:rPr>
          <w:color w:val="auto"/>
          <w:kern w:val="2"/>
          <w:sz w:val="21"/>
          <w:szCs w:val="21"/>
        </w:rPr>
        <w:t>虽然已经采取</w:t>
      </w:r>
      <w:r>
        <w:rPr>
          <w:color w:val="auto"/>
          <w:kern w:val="2"/>
          <w:sz w:val="21"/>
          <w:szCs w:val="21"/>
        </w:rPr>
        <w:t>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EB23FA" w:rsidRDefault="00C07BAC">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w:t>
      </w:r>
      <w:r>
        <w:rPr>
          <w:color w:val="auto"/>
          <w:kern w:val="2"/>
          <w:sz w:val="21"/>
          <w:szCs w:val="21"/>
        </w:rPr>
        <w:t>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EB23FA" w:rsidRDefault="00C07BAC">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EB23FA" w:rsidRDefault="00C07BAC">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理财产品本金及收益风险</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EB23FA" w:rsidRDefault="00C07BAC">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EB23FA" w:rsidRDefault="00C07BAC">
      <w:pPr>
        <w:widowControl/>
        <w:spacing w:line="360" w:lineRule="exact"/>
        <w:ind w:left="-2" w:rightChars="15" w:right="31" w:firstLineChars="200" w:firstLine="420"/>
        <w:rPr>
          <w:rFonts w:ascii="宋体" w:hAnsi="宋体" w:cs="宋体"/>
          <w:b/>
          <w:bCs/>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szCs w:val="21"/>
        </w:rPr>
        <w:t>产品到期投资者收益测算示例</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w:t>
      </w:r>
      <w:r>
        <w:rPr>
          <w:rFonts w:ascii="宋体" w:hAnsi="宋体" w:cs="宋体"/>
          <w:szCs w:val="21"/>
        </w:rPr>
        <w:t>投资者收益</w:t>
      </w:r>
      <w:r>
        <w:rPr>
          <w:rFonts w:ascii="宋体" w:hAnsi="宋体" w:cs="宋体"/>
          <w:szCs w:val="21"/>
        </w:rPr>
        <w:t>=M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：投资者持有份额</w:t>
      </w:r>
      <w:r>
        <w:rPr>
          <w:rFonts w:ascii="宋体" w:hAnsi="宋体" w:cs="宋体"/>
          <w:szCs w:val="21"/>
        </w:rPr>
        <w:t xml:space="preserve"> </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：投资者到期时产品份额净值</w:t>
      </w:r>
      <w:r>
        <w:rPr>
          <w:rFonts w:ascii="宋体" w:hAnsi="宋体" w:cs="宋体"/>
          <w:szCs w:val="21"/>
        </w:rPr>
        <w:t xml:space="preserve"> </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计算示例</w:t>
      </w:r>
      <w:r>
        <w:rPr>
          <w:rFonts w:ascii="宋体" w:hAnsi="宋体" w:cs="宋体"/>
          <w:szCs w:val="21"/>
        </w:rPr>
        <w:t xml:space="preserve"> </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w:t>
      </w:r>
      <w:r>
        <w:rPr>
          <w:rFonts w:ascii="宋体" w:hAnsi="宋体" w:cs="宋体"/>
          <w:szCs w:val="21"/>
        </w:rPr>
        <w:t>1</w:t>
      </w:r>
      <w:r>
        <w:rPr>
          <w:rFonts w:ascii="宋体" w:hAnsi="宋体" w:cs="宋体"/>
          <w:szCs w:val="21"/>
        </w:rPr>
        <w:t>：假设投资者于募集期内认购本产品，投资本金为</w:t>
      </w:r>
      <w:r>
        <w:rPr>
          <w:rFonts w:ascii="宋体" w:hAnsi="宋体" w:cs="宋体" w:hint="eastAsia"/>
          <w:szCs w:val="21"/>
        </w:rPr>
        <w:t>20,0</w:t>
      </w:r>
      <w:r>
        <w:rPr>
          <w:rFonts w:ascii="宋体" w:hAnsi="宋体" w:cs="宋体"/>
          <w:szCs w:val="21"/>
        </w:rPr>
        <w:t>00,000.00</w:t>
      </w:r>
      <w:r>
        <w:rPr>
          <w:rFonts w:ascii="宋体" w:hAnsi="宋体" w:cs="宋体"/>
          <w:szCs w:val="21"/>
        </w:rPr>
        <w:t>元，购买产品时份额净值为</w:t>
      </w:r>
      <w:r>
        <w:rPr>
          <w:rFonts w:ascii="宋体" w:hAnsi="宋体" w:cs="宋体"/>
          <w:szCs w:val="21"/>
        </w:rPr>
        <w:t>1.0000</w:t>
      </w:r>
      <w:r>
        <w:rPr>
          <w:rFonts w:ascii="宋体" w:hAnsi="宋体" w:cs="宋体"/>
          <w:szCs w:val="21"/>
        </w:rPr>
        <w:t>元，折算份额为</w:t>
      </w:r>
      <w:r>
        <w:rPr>
          <w:rFonts w:ascii="宋体" w:hAnsi="宋体" w:cs="宋体" w:hint="eastAsia"/>
          <w:szCs w:val="21"/>
        </w:rPr>
        <w:t>20,0</w:t>
      </w:r>
      <w:r>
        <w:rPr>
          <w:rFonts w:ascii="宋体" w:hAnsi="宋体" w:cs="宋体"/>
          <w:szCs w:val="21"/>
        </w:rPr>
        <w:t>00,000.00</w:t>
      </w:r>
      <w:r>
        <w:rPr>
          <w:rFonts w:ascii="宋体" w:hAnsi="宋体" w:cs="宋体"/>
          <w:szCs w:val="21"/>
        </w:rPr>
        <w:t>份。产品到期时，产品份额净值为</w:t>
      </w:r>
      <w:r>
        <w:rPr>
          <w:rFonts w:ascii="宋体" w:hAnsi="宋体" w:cs="宋体"/>
          <w:szCs w:val="21"/>
        </w:rPr>
        <w:t>1.0820</w:t>
      </w:r>
      <w:r>
        <w:rPr>
          <w:rFonts w:ascii="宋体" w:hAnsi="宋体" w:cs="宋体"/>
          <w:szCs w:val="21"/>
        </w:rPr>
        <w:t>元，则兑付给投资者的资金为：</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20,0</w:t>
      </w:r>
      <w:r>
        <w:rPr>
          <w:rFonts w:ascii="宋体" w:hAnsi="宋体" w:cs="宋体"/>
          <w:szCs w:val="21"/>
        </w:rPr>
        <w:t>00,000.00</w:t>
      </w:r>
      <w:r>
        <w:rPr>
          <w:rFonts w:ascii="宋体" w:hAnsi="宋体" w:cs="宋体" w:hint="eastAsia"/>
          <w:szCs w:val="21"/>
        </w:rPr>
        <w:t>×</w:t>
      </w:r>
      <w:r>
        <w:rPr>
          <w:rFonts w:ascii="宋体" w:hAnsi="宋体" w:cs="宋体" w:hint="eastAsia"/>
          <w:szCs w:val="21"/>
        </w:rPr>
        <w:t>1.0820=</w:t>
      </w:r>
      <w:r>
        <w:rPr>
          <w:rFonts w:ascii="宋体" w:hAnsi="宋体" w:cs="宋体" w:hint="eastAsia"/>
          <w:szCs w:val="21"/>
        </w:rPr>
        <w:t>21,640</w:t>
      </w:r>
      <w:r>
        <w:rPr>
          <w:rFonts w:ascii="宋体" w:hAnsi="宋体" w:cs="宋体" w:hint="eastAsia"/>
          <w:szCs w:val="21"/>
        </w:rPr>
        <w:t>,</w:t>
      </w:r>
      <w:r>
        <w:rPr>
          <w:rFonts w:ascii="宋体" w:hAnsi="宋体" w:cs="宋体" w:hint="eastAsia"/>
          <w:szCs w:val="21"/>
        </w:rPr>
        <w:t>0</w:t>
      </w:r>
      <w:r>
        <w:rPr>
          <w:rFonts w:ascii="宋体" w:hAnsi="宋体" w:cs="宋体" w:hint="eastAsia"/>
          <w:szCs w:val="21"/>
        </w:rPr>
        <w:t>00.00</w:t>
      </w:r>
      <w:r>
        <w:rPr>
          <w:rFonts w:ascii="宋体" w:hAnsi="宋体" w:cs="宋体" w:hint="eastAsia"/>
          <w:szCs w:val="21"/>
        </w:rPr>
        <w:t>（元）。</w:t>
      </w:r>
      <w:r>
        <w:rPr>
          <w:rFonts w:ascii="宋体" w:hAnsi="宋体" w:cs="宋体" w:hint="eastAsia"/>
          <w:szCs w:val="21"/>
        </w:rPr>
        <w:t xml:space="preserve"> </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2</w:t>
      </w:r>
      <w:r>
        <w:rPr>
          <w:rFonts w:ascii="宋体" w:hAnsi="宋体" w:cs="宋体"/>
          <w:szCs w:val="21"/>
        </w:rPr>
        <w:t>：假设投资者于募集期内认购本产品，投资本金为</w:t>
      </w:r>
      <w:r>
        <w:rPr>
          <w:rFonts w:ascii="宋体" w:hAnsi="宋体" w:cs="宋体" w:hint="eastAsia"/>
          <w:szCs w:val="21"/>
        </w:rPr>
        <w:t>20,0</w:t>
      </w:r>
      <w:r>
        <w:rPr>
          <w:rFonts w:ascii="宋体" w:hAnsi="宋体" w:cs="宋体"/>
          <w:szCs w:val="21"/>
        </w:rPr>
        <w:t>00,000.00</w:t>
      </w:r>
      <w:r>
        <w:rPr>
          <w:rFonts w:ascii="宋体" w:hAnsi="宋体" w:cs="宋体"/>
          <w:szCs w:val="21"/>
        </w:rPr>
        <w:t>元，购买产品时份额净值为</w:t>
      </w:r>
      <w:r>
        <w:rPr>
          <w:rFonts w:ascii="宋体" w:hAnsi="宋体" w:cs="宋体"/>
          <w:szCs w:val="21"/>
        </w:rPr>
        <w:t xml:space="preserve">1.0000 </w:t>
      </w:r>
      <w:r>
        <w:rPr>
          <w:rFonts w:ascii="宋体" w:hAnsi="宋体" w:cs="宋体"/>
          <w:szCs w:val="21"/>
        </w:rPr>
        <w:t>元，折算份额为</w:t>
      </w:r>
      <w:r>
        <w:rPr>
          <w:rFonts w:ascii="宋体" w:hAnsi="宋体" w:cs="宋体" w:hint="eastAsia"/>
          <w:szCs w:val="21"/>
        </w:rPr>
        <w:t>20,0</w:t>
      </w:r>
      <w:r>
        <w:rPr>
          <w:rFonts w:ascii="宋体" w:hAnsi="宋体" w:cs="宋体"/>
          <w:szCs w:val="21"/>
        </w:rPr>
        <w:t>00,000.00</w:t>
      </w:r>
      <w:r>
        <w:rPr>
          <w:rFonts w:ascii="宋体" w:hAnsi="宋体" w:cs="宋体"/>
          <w:szCs w:val="21"/>
        </w:rPr>
        <w:t>份。产品到期时，产品份额净值为</w:t>
      </w:r>
      <w:r>
        <w:rPr>
          <w:rFonts w:ascii="宋体" w:hAnsi="宋体" w:cs="宋体"/>
          <w:szCs w:val="21"/>
        </w:rPr>
        <w:t>0.9975</w:t>
      </w:r>
      <w:r>
        <w:rPr>
          <w:rFonts w:ascii="宋体" w:hAnsi="宋体" w:cs="宋体"/>
          <w:szCs w:val="21"/>
        </w:rPr>
        <w:t>元，则兑付给投</w:t>
      </w:r>
      <w:r>
        <w:rPr>
          <w:rFonts w:ascii="宋体" w:hAnsi="宋体" w:cs="宋体"/>
          <w:szCs w:val="21"/>
        </w:rPr>
        <w:t>资者的资金为：</w:t>
      </w:r>
      <w:r>
        <w:rPr>
          <w:rFonts w:ascii="宋体" w:hAnsi="宋体" w:cs="宋体"/>
          <w:szCs w:val="21"/>
        </w:rPr>
        <w:t xml:space="preserve"> </w:t>
      </w:r>
      <w:r>
        <w:rPr>
          <w:rFonts w:ascii="宋体" w:hAnsi="宋体" w:cs="宋体" w:hint="eastAsia"/>
          <w:szCs w:val="21"/>
        </w:rPr>
        <w:t>20,0</w:t>
      </w:r>
      <w:r>
        <w:rPr>
          <w:rFonts w:ascii="宋体" w:hAnsi="宋体" w:cs="宋体"/>
          <w:szCs w:val="21"/>
        </w:rPr>
        <w:t>00,000.00×0.9975=</w:t>
      </w:r>
      <w:r>
        <w:rPr>
          <w:rFonts w:ascii="宋体" w:hAnsi="宋体" w:cs="宋体" w:hint="eastAsia"/>
          <w:szCs w:val="21"/>
        </w:rPr>
        <w:t>1</w:t>
      </w:r>
      <w:r>
        <w:rPr>
          <w:rFonts w:ascii="宋体" w:hAnsi="宋体" w:cs="宋体"/>
          <w:szCs w:val="21"/>
        </w:rPr>
        <w:t>9</w:t>
      </w:r>
      <w:r>
        <w:rPr>
          <w:rFonts w:ascii="宋体" w:hAnsi="宋体" w:cs="宋体" w:hint="eastAsia"/>
          <w:szCs w:val="21"/>
        </w:rPr>
        <w:t>,</w:t>
      </w:r>
      <w:r>
        <w:rPr>
          <w:rFonts w:ascii="宋体" w:hAnsi="宋体" w:cs="宋体"/>
          <w:szCs w:val="21"/>
        </w:rPr>
        <w:t>9</w:t>
      </w:r>
      <w:r>
        <w:rPr>
          <w:rFonts w:ascii="宋体" w:hAnsi="宋体" w:cs="宋体" w:hint="eastAsia"/>
          <w:szCs w:val="21"/>
        </w:rPr>
        <w:t>50,00</w:t>
      </w:r>
      <w:r>
        <w:rPr>
          <w:rFonts w:ascii="宋体" w:hAnsi="宋体" w:cs="宋体"/>
          <w:szCs w:val="21"/>
        </w:rPr>
        <w:t>0.00</w:t>
      </w:r>
      <w:r>
        <w:rPr>
          <w:rFonts w:ascii="宋体" w:hAnsi="宋体" w:cs="宋体"/>
          <w:szCs w:val="21"/>
        </w:rPr>
        <w:t>（元）。</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，存在流动性风险；二是投资的债券或股票品种等受市场价格波动影响，存在市场风险；三是投资的资产或资产组合涉及的融资人</w:t>
      </w:r>
      <w:r>
        <w:rPr>
          <w:rFonts w:ascii="宋体" w:hAnsi="宋体" w:cs="宋体"/>
          <w:szCs w:val="21"/>
        </w:rPr>
        <w:t>/</w:t>
      </w:r>
      <w:r>
        <w:rPr>
          <w:rFonts w:ascii="宋体" w:hAnsi="宋体" w:cs="宋体"/>
          <w:szCs w:val="21"/>
        </w:rPr>
        <w:t>义务人或债券发行人因违约造成的风险。如发生上述最不利的投资情形和投资结果，投资者将面临本金和</w:t>
      </w:r>
      <w:r>
        <w:rPr>
          <w:rFonts w:ascii="宋体" w:hAnsi="宋体" w:cs="宋体"/>
          <w:szCs w:val="21"/>
        </w:rPr>
        <w:t>收益损失的风险。</w:t>
      </w:r>
      <w:r>
        <w:rPr>
          <w:rFonts w:ascii="宋体" w:hAnsi="宋体" w:cs="宋体"/>
          <w:szCs w:val="21"/>
        </w:rPr>
        <w:t xml:space="preserve"> </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EB23FA" w:rsidRDefault="00C07BAC">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w:t>
      </w:r>
      <w:r>
        <w:rPr>
          <w:rFonts w:ascii="宋体" w:hAnsi="宋体" w:cs="宋体" w:hint="eastAsia"/>
          <w:szCs w:val="21"/>
        </w:rPr>
        <w:t>20,0</w:t>
      </w:r>
      <w:r>
        <w:rPr>
          <w:rFonts w:ascii="宋体" w:hAnsi="宋体" w:cs="宋体"/>
          <w:szCs w:val="21"/>
        </w:rPr>
        <w:t>00,000.00</w:t>
      </w:r>
      <w:r>
        <w:rPr>
          <w:rFonts w:ascii="宋体" w:hAnsi="宋体" w:cs="宋体"/>
          <w:szCs w:val="21"/>
        </w:rPr>
        <w:t>元，购买产品时份额净值为</w:t>
      </w:r>
      <w:r>
        <w:rPr>
          <w:rFonts w:ascii="宋体" w:hAnsi="宋体" w:cs="宋体"/>
          <w:szCs w:val="21"/>
        </w:rPr>
        <w:t>1.0000</w:t>
      </w:r>
      <w:r>
        <w:rPr>
          <w:rFonts w:ascii="宋体" w:hAnsi="宋体" w:cs="宋体"/>
          <w:szCs w:val="21"/>
        </w:rPr>
        <w:t>元，折算份额为</w:t>
      </w:r>
      <w:r>
        <w:rPr>
          <w:rFonts w:ascii="宋体" w:hAnsi="宋体" w:cs="宋体" w:hint="eastAsia"/>
          <w:szCs w:val="21"/>
        </w:rPr>
        <w:t>20,0</w:t>
      </w:r>
      <w:r>
        <w:rPr>
          <w:rFonts w:ascii="宋体" w:hAnsi="宋体" w:cs="宋体"/>
          <w:szCs w:val="21"/>
        </w:rPr>
        <w:t>00,000.00</w:t>
      </w:r>
      <w:r>
        <w:rPr>
          <w:rFonts w:ascii="宋体" w:hAnsi="宋体" w:cs="宋体"/>
          <w:szCs w:val="21"/>
        </w:rPr>
        <w:t>份，产品提前终止时，产品份额净值为</w:t>
      </w:r>
      <w:r>
        <w:rPr>
          <w:rFonts w:ascii="宋体" w:hAnsi="宋体" w:cs="宋体"/>
          <w:szCs w:val="21"/>
        </w:rPr>
        <w:t>1.0320</w:t>
      </w:r>
      <w:r>
        <w:rPr>
          <w:rFonts w:ascii="宋体" w:hAnsi="宋体" w:cs="宋体"/>
          <w:szCs w:val="21"/>
        </w:rPr>
        <w:t>元，则兑付给投资者的资金为：</w:t>
      </w:r>
      <w:r>
        <w:rPr>
          <w:rFonts w:ascii="宋体" w:hAnsi="宋体" w:cs="宋体" w:hint="eastAsia"/>
          <w:szCs w:val="21"/>
        </w:rPr>
        <w:t>20,0</w:t>
      </w:r>
      <w:r>
        <w:rPr>
          <w:rFonts w:ascii="宋体" w:hAnsi="宋体" w:cs="宋体"/>
          <w:szCs w:val="21"/>
        </w:rPr>
        <w:t>00,000.00×1.0320=</w:t>
      </w:r>
      <w:r>
        <w:rPr>
          <w:rFonts w:ascii="宋体" w:hAnsi="宋体" w:cs="宋体" w:hint="eastAsia"/>
          <w:szCs w:val="21"/>
        </w:rPr>
        <w:t>2</w:t>
      </w:r>
      <w:r>
        <w:rPr>
          <w:rFonts w:ascii="宋体" w:hAnsi="宋体" w:cs="宋体"/>
          <w:szCs w:val="21"/>
        </w:rPr>
        <w:t>0</w:t>
      </w:r>
      <w:r>
        <w:rPr>
          <w:rFonts w:ascii="宋体" w:hAnsi="宋体" w:cs="宋体" w:hint="eastAsia"/>
          <w:szCs w:val="21"/>
        </w:rPr>
        <w:t>,64</w:t>
      </w:r>
      <w:r>
        <w:rPr>
          <w:rFonts w:ascii="宋体" w:hAnsi="宋体" w:cs="宋体"/>
          <w:szCs w:val="21"/>
        </w:rPr>
        <w:t>0</w:t>
      </w:r>
      <w:r>
        <w:rPr>
          <w:rFonts w:ascii="宋体" w:hAnsi="宋体" w:cs="宋体" w:hint="eastAsia"/>
          <w:szCs w:val="21"/>
        </w:rPr>
        <w:t>,00</w:t>
      </w:r>
      <w:r>
        <w:rPr>
          <w:rFonts w:ascii="宋体" w:hAnsi="宋体" w:cs="宋体"/>
          <w:szCs w:val="21"/>
        </w:rPr>
        <w:t>0.00</w:t>
      </w:r>
      <w:r>
        <w:rPr>
          <w:rFonts w:ascii="宋体" w:hAnsi="宋体" w:cs="宋体"/>
          <w:szCs w:val="21"/>
        </w:rPr>
        <w:t>（元）。</w:t>
      </w:r>
    </w:p>
    <w:p w:rsidR="00EB23FA" w:rsidRDefault="00C07BAC">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EB23FA" w:rsidRDefault="00C07BA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w:t>
      </w:r>
      <w:r>
        <w:rPr>
          <w:rFonts w:ascii="宋体" w:hAnsi="宋体" w:cs="宋体" w:hint="eastAsia"/>
          <w:b/>
          <w:kern w:val="0"/>
          <w:szCs w:val="21"/>
        </w:rPr>
        <w:t>理财产品发行公告</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w:t>
      </w:r>
      <w:r>
        <w:rPr>
          <w:rFonts w:ascii="宋体" w:hAnsi="宋体" w:cs="宋体"/>
          <w:kern w:val="0"/>
          <w:szCs w:val="21"/>
        </w:rPr>
        <w:t>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w:t>
      </w:r>
      <w:r>
        <w:rPr>
          <w:rFonts w:ascii="宋体" w:hAnsi="宋体" w:cs="宋体" w:hint="eastAsia"/>
          <w:kern w:val="0"/>
          <w:szCs w:val="21"/>
        </w:rPr>
        <w:t>2</w:t>
      </w:r>
      <w:r>
        <w:rPr>
          <w:rFonts w:ascii="宋体" w:hAnsi="宋体" w:cs="宋体" w:hint="eastAsia"/>
          <w:kern w:val="0"/>
          <w:szCs w:val="21"/>
        </w:rPr>
        <w:t>个工作日内，向投资者发布相关信息公告。</w:t>
      </w:r>
    </w:p>
    <w:p w:rsidR="00EB23FA" w:rsidRDefault="00C07BA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EB23FA" w:rsidRDefault="00C07BAC">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w:t>
      </w:r>
      <w:r>
        <w:rPr>
          <w:rFonts w:ascii="宋体" w:hAnsi="宋体" w:cs="宋体"/>
          <w:kern w:val="0"/>
          <w:szCs w:val="21"/>
        </w:rPr>
        <w:t>15</w:t>
      </w:r>
      <w:r>
        <w:rPr>
          <w:rFonts w:ascii="宋体" w:hAnsi="宋体" w:cs="宋体" w:hint="eastAsia"/>
          <w:kern w:val="0"/>
          <w:szCs w:val="21"/>
        </w:rPr>
        <w:t>个工作</w:t>
      </w:r>
      <w:r>
        <w:rPr>
          <w:rFonts w:ascii="宋体" w:hAnsi="宋体" w:cs="宋体"/>
          <w:kern w:val="0"/>
          <w:szCs w:val="21"/>
        </w:rPr>
        <w:t>日内、上半年结束之日起</w:t>
      </w:r>
      <w:r>
        <w:rPr>
          <w:rFonts w:ascii="宋体" w:hAnsi="宋体" w:cs="宋体"/>
          <w:kern w:val="0"/>
          <w:szCs w:val="21"/>
        </w:rPr>
        <w:t>60</w:t>
      </w:r>
      <w:r>
        <w:rPr>
          <w:rFonts w:ascii="宋体" w:hAnsi="宋体" w:cs="宋体" w:hint="eastAsia"/>
          <w:kern w:val="0"/>
          <w:szCs w:val="21"/>
        </w:rPr>
        <w:t>个工作</w:t>
      </w:r>
      <w:r>
        <w:rPr>
          <w:rFonts w:ascii="宋体" w:hAnsi="宋体" w:cs="宋体"/>
          <w:kern w:val="0"/>
          <w:szCs w:val="21"/>
        </w:rPr>
        <w:t>日内、每年结束之日起</w:t>
      </w:r>
      <w:r>
        <w:rPr>
          <w:rFonts w:ascii="宋体" w:hAnsi="宋体" w:cs="宋体"/>
          <w:kern w:val="0"/>
          <w:szCs w:val="21"/>
        </w:rPr>
        <w:t>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w:t>
      </w:r>
      <w:r>
        <w:rPr>
          <w:rFonts w:ascii="宋体" w:hAnsi="宋体" w:cs="宋体"/>
          <w:kern w:val="0"/>
          <w:szCs w:val="21"/>
        </w:rPr>
        <w:t>90</w:t>
      </w:r>
      <w:r>
        <w:rPr>
          <w:rFonts w:ascii="宋体" w:hAnsi="宋体" w:cs="宋体"/>
          <w:kern w:val="0"/>
          <w:szCs w:val="21"/>
        </w:rPr>
        <w:t>日或者剩余存续期不超过</w:t>
      </w:r>
      <w:r>
        <w:rPr>
          <w:rFonts w:ascii="宋体" w:hAnsi="宋体" w:cs="宋体"/>
          <w:kern w:val="0"/>
          <w:szCs w:val="21"/>
        </w:rPr>
        <w:t>90</w:t>
      </w:r>
      <w:r>
        <w:rPr>
          <w:rFonts w:ascii="宋体" w:hAnsi="宋体" w:cs="宋体"/>
          <w:kern w:val="0"/>
          <w:szCs w:val="21"/>
        </w:rPr>
        <w:t>日的，可以不编制理财产品当期的季度、半年和年度报告。定期报告，包括理财产品的存续规模、收益表现，并分别列示直接和间接投资的资产种类、投资比例、投资组合的流动性风险分析，以及前十项资产具体名</w:t>
      </w:r>
      <w:r>
        <w:rPr>
          <w:rFonts w:ascii="宋体" w:hAnsi="宋体" w:cs="宋体"/>
          <w:kern w:val="0"/>
          <w:szCs w:val="21"/>
        </w:rPr>
        <w:t>称、规模和比例等信息。</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w:t>
      </w:r>
      <w:r>
        <w:rPr>
          <w:rFonts w:ascii="宋体" w:hAnsi="宋体" w:cs="宋体"/>
          <w:kern w:val="0"/>
          <w:szCs w:val="21"/>
        </w:rPr>
        <w:t>2</w:t>
      </w:r>
      <w:r>
        <w:rPr>
          <w:rFonts w:ascii="宋体" w:hAnsi="宋体" w:cs="宋体"/>
          <w:kern w:val="0"/>
          <w:szCs w:val="21"/>
        </w:rPr>
        <w:t>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EB23FA" w:rsidRDefault="00C07BA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w:t>
      </w:r>
      <w:r>
        <w:rPr>
          <w:rFonts w:ascii="宋体" w:hAnsi="宋体" w:cs="宋体" w:hint="eastAsia"/>
          <w:b/>
          <w:kern w:val="0"/>
          <w:szCs w:val="21"/>
        </w:rPr>
        <w:t>理财产品临时性信息披露</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w:t>
      </w:r>
      <w:r>
        <w:rPr>
          <w:rFonts w:ascii="宋体" w:hAnsi="宋体" w:cs="宋体" w:hint="eastAsia"/>
          <w:szCs w:val="21"/>
        </w:rPr>
        <w:t>2</w:t>
      </w:r>
      <w:r>
        <w:rPr>
          <w:rFonts w:ascii="宋体" w:hAnsi="宋体" w:cs="宋体"/>
          <w:szCs w:val="21"/>
        </w:rPr>
        <w:t>个工作日</w:t>
      </w:r>
      <w:r>
        <w:rPr>
          <w:rFonts w:ascii="宋体" w:hAnsi="宋体" w:cs="宋体" w:hint="eastAsia"/>
          <w:kern w:val="0"/>
          <w:szCs w:val="21"/>
        </w:rPr>
        <w:t>向投资者发布相关信息公告。</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w:t>
      </w:r>
      <w:r>
        <w:rPr>
          <w:rFonts w:ascii="宋体" w:hAnsi="宋体" w:cs="宋体" w:hint="eastAsia"/>
          <w:kern w:val="0"/>
          <w:szCs w:val="21"/>
        </w:rPr>
        <w:t>2</w:t>
      </w:r>
      <w:r>
        <w:rPr>
          <w:rFonts w:ascii="宋体" w:hAnsi="宋体" w:cs="宋体" w:hint="eastAsia"/>
          <w:kern w:val="0"/>
          <w:szCs w:val="21"/>
        </w:rPr>
        <w:t>个工作日内根据实际情况一次性支付。</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w:t>
      </w:r>
      <w:r>
        <w:rPr>
          <w:rFonts w:ascii="宋体" w:hAnsi="宋体" w:hint="eastAsia"/>
          <w:szCs w:val="21"/>
        </w:rPr>
        <w:t>法规、监管规定允许的范围内单方对本合同进行修订。管理人决定对本合同进行修订的，将提前两个工作日以本《理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w:t>
      </w:r>
      <w:r>
        <w:rPr>
          <w:rFonts w:ascii="宋体" w:hAnsi="宋体" w:hint="eastAsia"/>
          <w:szCs w:val="21"/>
        </w:rPr>
        <w:t>将开放特殊赎回期间，具体届时以我行公告为准），</w:t>
      </w:r>
      <w:r>
        <w:rPr>
          <w:rFonts w:ascii="宋体" w:hAnsi="宋体" w:hint="eastAsia"/>
          <w:b/>
          <w:bCs/>
          <w:szCs w:val="21"/>
        </w:rPr>
        <w:t>逾期未赎回的视为投资者书面同意相关调整并继续持有本理财产品。</w:t>
      </w:r>
    </w:p>
    <w:p w:rsidR="00EB23FA" w:rsidRDefault="00C07BAC">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EB23FA" w:rsidRDefault="00C07BAC">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w:t>
      </w:r>
      <w:r>
        <w:rPr>
          <w:rFonts w:ascii="宋体" w:hAnsi="宋体" w:cs="宋体" w:hint="eastAsia"/>
          <w:b/>
          <w:kern w:val="0"/>
          <w:szCs w:val="21"/>
        </w:rPr>
        <w:t>理财产品重大事项公告</w:t>
      </w:r>
    </w:p>
    <w:p w:rsidR="00EB23FA" w:rsidRDefault="00C07BAC">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w:t>
      </w:r>
      <w:r>
        <w:rPr>
          <w:rFonts w:ascii="宋体" w:hAnsi="宋体" w:cs="宋体" w:hint="eastAsia"/>
          <w:bCs/>
          <w:kern w:val="0"/>
          <w:szCs w:val="21"/>
        </w:rPr>
        <w:t>重大事件，管理人将在</w:t>
      </w:r>
      <w:r>
        <w:rPr>
          <w:rFonts w:ascii="宋体" w:hAnsi="宋体" w:cs="宋体" w:hint="eastAsia"/>
          <w:bCs/>
          <w:kern w:val="0"/>
          <w:szCs w:val="21"/>
        </w:rPr>
        <w:t xml:space="preserve">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EB23FA" w:rsidRDefault="00C07BAC">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w:t>
      </w:r>
      <w:r>
        <w:rPr>
          <w:rFonts w:ascii="宋体" w:hAnsi="宋体" w:cs="宋体" w:hint="eastAsia"/>
          <w:b/>
          <w:kern w:val="0"/>
          <w:szCs w:val="21"/>
        </w:rPr>
        <w:t>理财产品到期公告</w:t>
      </w:r>
    </w:p>
    <w:p w:rsidR="00EB23FA" w:rsidRDefault="00C07BAC">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w:t>
      </w:r>
      <w:r>
        <w:rPr>
          <w:rFonts w:ascii="宋体" w:hAnsi="宋体" w:cs="宋体" w:hint="eastAsia"/>
          <w:kern w:val="0"/>
          <w:szCs w:val="21"/>
        </w:rPr>
        <w:t>5</w:t>
      </w:r>
      <w:r>
        <w:rPr>
          <w:rFonts w:ascii="宋体" w:hAnsi="宋体" w:cs="宋体" w:hint="eastAsia"/>
          <w:kern w:val="0"/>
          <w:szCs w:val="21"/>
        </w:rPr>
        <w:t>个工作日内，向投资者发布相关信息公告。</w:t>
      </w:r>
    </w:p>
    <w:p w:rsidR="00EB23FA" w:rsidRDefault="00C07BAC">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w:t>
      </w:r>
      <w:r>
        <w:rPr>
          <w:rFonts w:ascii="宋体" w:hAnsi="宋体" w:cs="宋体" w:hint="eastAsia"/>
          <w:kern w:val="0"/>
          <w:szCs w:val="21"/>
        </w:rPr>
        <w:t>2</w:t>
      </w:r>
      <w:r>
        <w:rPr>
          <w:rFonts w:ascii="宋体" w:hAnsi="宋体" w:cs="宋体" w:hint="eastAsia"/>
          <w:kern w:val="0"/>
          <w:szCs w:val="21"/>
        </w:rPr>
        <w:t>个工作日，向投资者发布相关信息公告。</w:t>
      </w:r>
    </w:p>
    <w:p w:rsidR="00EB23FA" w:rsidRDefault="00C07BAC">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kern w:val="0"/>
          <w:szCs w:val="21"/>
        </w:rPr>
        <w:t>,</w:t>
      </w:r>
      <w:r>
        <w:rPr>
          <w:rFonts w:ascii="宋体" w:hAnsi="宋体" w:cs="宋体" w:hint="eastAsia"/>
          <w:szCs w:val="21"/>
        </w:rPr>
        <w:t>产品管理人</w:t>
      </w:r>
      <w:r>
        <w:rPr>
          <w:rFonts w:ascii="宋体" w:hAnsi="宋体" w:cs="宋体" w:hint="eastAsia"/>
          <w:kern w:val="0"/>
          <w:szCs w:val="21"/>
        </w:rPr>
        <w:t>将于到期日前</w:t>
      </w:r>
      <w:r>
        <w:rPr>
          <w:rFonts w:ascii="宋体" w:hAnsi="宋体" w:cs="宋体" w:hint="eastAsia"/>
          <w:kern w:val="0"/>
          <w:szCs w:val="21"/>
        </w:rPr>
        <w:t>1</w:t>
      </w:r>
      <w:r>
        <w:rPr>
          <w:rFonts w:ascii="宋体" w:hAnsi="宋体" w:cs="宋体" w:hint="eastAsia"/>
          <w:kern w:val="0"/>
          <w:szCs w:val="21"/>
        </w:rPr>
        <w:t>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EB23FA">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EB23FA" w:rsidRDefault="00C07BAC">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w:t>
            </w:r>
            <w:r>
              <w:rPr>
                <w:rFonts w:ascii="宋体" w:hAnsi="宋体" w:cs="宋体" w:hint="eastAsia"/>
                <w:szCs w:val="21"/>
              </w:rPr>
              <w:t>认购</w:t>
            </w:r>
            <w:r>
              <w:rPr>
                <w:rFonts w:ascii="宋体" w:hAnsi="宋体" w:cs="宋体" w:hint="eastAsia"/>
                <w:szCs w:val="21"/>
              </w:rPr>
              <w:t>资金投资、理财收益、产品费用及特别提示等内容，已不存在任何疑问或异议。</w:t>
            </w:r>
          </w:p>
        </w:tc>
      </w:tr>
      <w:tr w:rsidR="00EB23FA">
        <w:trPr>
          <w:trHeight w:val="752"/>
        </w:trPr>
        <w:tc>
          <w:tcPr>
            <w:tcW w:w="4786" w:type="dxa"/>
            <w:vMerge w:val="restart"/>
            <w:tcBorders>
              <w:top w:val="single" w:sz="4" w:space="0" w:color="auto"/>
              <w:left w:val="single" w:sz="4" w:space="0" w:color="auto"/>
              <w:right w:val="single" w:sz="4" w:space="0" w:color="auto"/>
            </w:tcBorders>
          </w:tcPr>
          <w:p w:rsidR="00EB23FA" w:rsidRDefault="00C07BAC">
            <w:pPr>
              <w:spacing w:line="360" w:lineRule="exact"/>
              <w:ind w:right="420"/>
              <w:rPr>
                <w:rFonts w:ascii="宋体" w:hAnsi="宋体" w:cs="宋体"/>
                <w:szCs w:val="21"/>
              </w:rPr>
            </w:pPr>
            <w:r>
              <w:rPr>
                <w:rFonts w:ascii="宋体" w:hAnsi="宋体" w:cs="宋体" w:hint="eastAsia"/>
                <w:szCs w:val="21"/>
              </w:rPr>
              <w:t>客户类别（由理财经理填写）：</w:t>
            </w:r>
          </w:p>
          <w:p w:rsidR="00EB23FA" w:rsidRDefault="00C07BAC">
            <w:pPr>
              <w:spacing w:line="360" w:lineRule="exact"/>
              <w:ind w:right="420"/>
              <w:rPr>
                <w:rFonts w:ascii="宋体" w:hAnsi="宋体" w:cs="宋体"/>
                <w:szCs w:val="21"/>
              </w:rPr>
            </w:pPr>
            <w:r>
              <w:rPr>
                <w:rFonts w:ascii="宋体" w:hAnsi="宋体" w:cs="宋体" w:hint="eastAsia"/>
                <w:szCs w:val="21"/>
              </w:rPr>
              <w:t>□不特定社会公众</w:t>
            </w:r>
            <w:r>
              <w:rPr>
                <w:rFonts w:ascii="宋体" w:hAnsi="宋体" w:cs="宋体" w:hint="eastAsia"/>
                <w:szCs w:val="21"/>
              </w:rPr>
              <w:t xml:space="preserve">   </w:t>
            </w:r>
            <w:r>
              <w:rPr>
                <w:rFonts w:ascii="宋体" w:hAnsi="宋体" w:cs="宋体" w:hint="eastAsia"/>
                <w:szCs w:val="21"/>
              </w:rPr>
              <w:t>□合格投资者</w:t>
            </w:r>
            <w:r>
              <w:rPr>
                <w:rFonts w:ascii="宋体" w:hAnsi="宋体" w:cs="宋体" w:hint="eastAsia"/>
                <w:szCs w:val="21"/>
              </w:rPr>
              <w:t xml:space="preserve">  </w:t>
            </w:r>
          </w:p>
        </w:tc>
        <w:tc>
          <w:tcPr>
            <w:tcW w:w="5534" w:type="dxa"/>
            <w:tcBorders>
              <w:top w:val="single" w:sz="4" w:space="0" w:color="auto"/>
              <w:left w:val="single" w:sz="4" w:space="0" w:color="auto"/>
              <w:bottom w:val="single" w:sz="4" w:space="0" w:color="auto"/>
              <w:right w:val="single" w:sz="4" w:space="0" w:color="auto"/>
            </w:tcBorders>
          </w:tcPr>
          <w:p w:rsidR="00EB23FA" w:rsidRDefault="00C07BAC">
            <w:pPr>
              <w:spacing w:line="360" w:lineRule="exact"/>
              <w:ind w:right="420"/>
              <w:rPr>
                <w:rFonts w:ascii="宋体" w:hAnsi="宋体" w:cs="宋体"/>
                <w:b/>
                <w:szCs w:val="21"/>
              </w:rPr>
            </w:pPr>
            <w:r>
              <w:rPr>
                <w:rFonts w:ascii="宋体" w:hAnsi="宋体" w:cs="宋体" w:hint="eastAsia"/>
                <w:b/>
                <w:szCs w:val="21"/>
              </w:rPr>
              <w:t>个人客户栏：</w:t>
            </w:r>
          </w:p>
          <w:p w:rsidR="00EB23FA" w:rsidRDefault="00C07BAC">
            <w:pPr>
              <w:spacing w:line="360" w:lineRule="exact"/>
              <w:ind w:right="420"/>
              <w:rPr>
                <w:rFonts w:ascii="宋体" w:hAnsi="宋体" w:cs="宋体"/>
                <w:szCs w:val="21"/>
              </w:rPr>
            </w:pPr>
            <w:r>
              <w:rPr>
                <w:rFonts w:ascii="宋体" w:hAnsi="宋体" w:cs="宋体" w:hint="eastAsia"/>
                <w:szCs w:val="21"/>
              </w:rPr>
              <w:t>投资者（客户）签名：</w:t>
            </w:r>
          </w:p>
          <w:p w:rsidR="00EB23FA" w:rsidRDefault="00EB23FA">
            <w:pPr>
              <w:spacing w:line="360" w:lineRule="exact"/>
              <w:ind w:right="420"/>
              <w:rPr>
                <w:rFonts w:ascii="宋体" w:hAnsi="宋体" w:cs="宋体"/>
                <w:szCs w:val="21"/>
              </w:rPr>
            </w:pPr>
          </w:p>
          <w:p w:rsidR="00EB23FA" w:rsidRDefault="00EB23FA">
            <w:pPr>
              <w:spacing w:line="360" w:lineRule="exact"/>
              <w:ind w:right="420"/>
              <w:rPr>
                <w:rFonts w:ascii="宋体" w:hAnsi="宋体" w:cs="宋体"/>
                <w:szCs w:val="21"/>
              </w:rPr>
            </w:pPr>
          </w:p>
          <w:p w:rsidR="00EB23FA" w:rsidRDefault="00EB23FA">
            <w:pPr>
              <w:spacing w:line="360" w:lineRule="exact"/>
              <w:ind w:right="420"/>
              <w:rPr>
                <w:rFonts w:ascii="宋体" w:hAnsi="宋体" w:cs="宋体"/>
                <w:szCs w:val="21"/>
              </w:rPr>
            </w:pPr>
          </w:p>
          <w:p w:rsidR="00EB23FA" w:rsidRDefault="00C07BAC">
            <w:pPr>
              <w:spacing w:line="360" w:lineRule="exact"/>
              <w:ind w:right="420"/>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EB23FA">
        <w:trPr>
          <w:trHeight w:val="751"/>
        </w:trPr>
        <w:tc>
          <w:tcPr>
            <w:tcW w:w="4786" w:type="dxa"/>
            <w:vMerge/>
            <w:tcBorders>
              <w:left w:val="single" w:sz="4" w:space="0" w:color="auto"/>
              <w:bottom w:val="single" w:sz="4" w:space="0" w:color="auto"/>
              <w:right w:val="single" w:sz="4" w:space="0" w:color="auto"/>
            </w:tcBorders>
          </w:tcPr>
          <w:p w:rsidR="00EB23FA" w:rsidRDefault="00EB23FA">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EB23FA" w:rsidRDefault="00C07BAC">
            <w:pPr>
              <w:spacing w:line="360" w:lineRule="exact"/>
              <w:ind w:right="420"/>
              <w:rPr>
                <w:rFonts w:ascii="宋体" w:hAnsi="宋体" w:cs="宋体"/>
                <w:b/>
                <w:szCs w:val="21"/>
              </w:rPr>
            </w:pPr>
            <w:r>
              <w:rPr>
                <w:rFonts w:ascii="宋体" w:hAnsi="宋体" w:cs="宋体" w:hint="eastAsia"/>
                <w:b/>
                <w:szCs w:val="21"/>
              </w:rPr>
              <w:t>机构客户栏：</w:t>
            </w:r>
          </w:p>
          <w:p w:rsidR="00EB23FA" w:rsidRDefault="00C07BAC">
            <w:pPr>
              <w:spacing w:line="360" w:lineRule="exact"/>
              <w:ind w:right="420"/>
              <w:rPr>
                <w:rFonts w:ascii="宋体" w:hAnsi="宋体" w:cs="宋体"/>
                <w:szCs w:val="21"/>
              </w:rPr>
            </w:pPr>
            <w:r>
              <w:rPr>
                <w:rFonts w:ascii="宋体" w:hAnsi="宋体" w:cs="宋体" w:hint="eastAsia"/>
                <w:szCs w:val="21"/>
              </w:rPr>
              <w:t>投资者（客户）盖公章：</w:t>
            </w:r>
          </w:p>
          <w:p w:rsidR="00EB23FA" w:rsidRDefault="00EB23FA">
            <w:pPr>
              <w:spacing w:line="360" w:lineRule="exact"/>
              <w:ind w:right="420"/>
              <w:rPr>
                <w:rFonts w:ascii="宋体" w:hAnsi="宋体" w:cs="宋体"/>
                <w:szCs w:val="21"/>
              </w:rPr>
            </w:pPr>
          </w:p>
          <w:p w:rsidR="00EB23FA" w:rsidRDefault="00EB23FA">
            <w:pPr>
              <w:spacing w:line="360" w:lineRule="exact"/>
              <w:ind w:right="420"/>
              <w:rPr>
                <w:rFonts w:ascii="宋体" w:hAnsi="宋体" w:cs="宋体"/>
                <w:szCs w:val="21"/>
              </w:rPr>
            </w:pPr>
          </w:p>
          <w:p w:rsidR="00EB23FA" w:rsidRDefault="00C07BAC">
            <w:pPr>
              <w:spacing w:line="360" w:lineRule="exact"/>
              <w:ind w:right="420"/>
              <w:rPr>
                <w:rFonts w:ascii="宋体" w:hAnsi="宋体" w:cs="宋体"/>
                <w:szCs w:val="21"/>
              </w:rPr>
            </w:pPr>
            <w:r>
              <w:rPr>
                <w:rFonts w:ascii="宋体" w:hAnsi="宋体" w:cs="宋体" w:hint="eastAsia"/>
                <w:szCs w:val="21"/>
              </w:rPr>
              <w:t>法定代表人或委托代理人签字：</w:t>
            </w:r>
          </w:p>
          <w:p w:rsidR="00EB23FA" w:rsidRDefault="00EB23FA">
            <w:pPr>
              <w:spacing w:line="360" w:lineRule="exact"/>
              <w:ind w:right="420"/>
              <w:rPr>
                <w:rFonts w:ascii="宋体" w:hAnsi="宋体" w:cs="宋体"/>
                <w:szCs w:val="21"/>
              </w:rPr>
            </w:pPr>
          </w:p>
          <w:p w:rsidR="00EB23FA" w:rsidRDefault="00C07BAC">
            <w:pPr>
              <w:spacing w:line="360" w:lineRule="exact"/>
              <w:ind w:right="420"/>
              <w:rPr>
                <w:rFonts w:ascii="宋体" w:hAnsi="宋体" w:cs="宋体"/>
                <w:b/>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bl>
    <w:p w:rsidR="00EB23FA" w:rsidRDefault="00EB23FA">
      <w:pPr>
        <w:spacing w:line="360" w:lineRule="atLeast"/>
        <w:ind w:firstLineChars="200" w:firstLine="420"/>
      </w:pPr>
    </w:p>
    <w:p w:rsidR="00EB23FA" w:rsidRDefault="00EB23FA"/>
    <w:sectPr w:rsidR="00EB23FA">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BAC" w:rsidRDefault="00C07BAC" w:rsidP="00F80166">
      <w:r>
        <w:separator/>
      </w:r>
    </w:p>
  </w:endnote>
  <w:endnote w:type="continuationSeparator" w:id="0">
    <w:p w:rsidR="00C07BAC" w:rsidRDefault="00C07BAC" w:rsidP="00F8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BAC" w:rsidRDefault="00C07BAC" w:rsidP="00F80166">
      <w:r>
        <w:separator/>
      </w:r>
    </w:p>
  </w:footnote>
  <w:footnote w:type="continuationSeparator" w:id="0">
    <w:p w:rsidR="00C07BAC" w:rsidRDefault="00C07BAC" w:rsidP="00F8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341E68"/>
    <w:rsid w:val="00374F9F"/>
    <w:rsid w:val="005D7C0C"/>
    <w:rsid w:val="00773E5B"/>
    <w:rsid w:val="00854DE8"/>
    <w:rsid w:val="00883CE7"/>
    <w:rsid w:val="008D2F51"/>
    <w:rsid w:val="008E071C"/>
    <w:rsid w:val="009718FD"/>
    <w:rsid w:val="00983A00"/>
    <w:rsid w:val="00A02753"/>
    <w:rsid w:val="00B152B7"/>
    <w:rsid w:val="00C07BAC"/>
    <w:rsid w:val="00D21292"/>
    <w:rsid w:val="00E753D9"/>
    <w:rsid w:val="00EB23FA"/>
    <w:rsid w:val="00F80166"/>
    <w:rsid w:val="01081B3E"/>
    <w:rsid w:val="01140643"/>
    <w:rsid w:val="015654C1"/>
    <w:rsid w:val="01EE47BC"/>
    <w:rsid w:val="037709BE"/>
    <w:rsid w:val="03970EF3"/>
    <w:rsid w:val="053174FE"/>
    <w:rsid w:val="053B1213"/>
    <w:rsid w:val="05D32A1C"/>
    <w:rsid w:val="06743A25"/>
    <w:rsid w:val="06890D40"/>
    <w:rsid w:val="078E5270"/>
    <w:rsid w:val="08EE6CBF"/>
    <w:rsid w:val="0BBA767F"/>
    <w:rsid w:val="0BC25FDA"/>
    <w:rsid w:val="0CEB6D41"/>
    <w:rsid w:val="0D257E20"/>
    <w:rsid w:val="0D872B07"/>
    <w:rsid w:val="0DF471F4"/>
    <w:rsid w:val="0E0C6E19"/>
    <w:rsid w:val="0E2322C1"/>
    <w:rsid w:val="0EEC778C"/>
    <w:rsid w:val="0F4D2CA8"/>
    <w:rsid w:val="0FD61908"/>
    <w:rsid w:val="10393A4B"/>
    <w:rsid w:val="114B7377"/>
    <w:rsid w:val="114D3A73"/>
    <w:rsid w:val="11D4394C"/>
    <w:rsid w:val="123816A1"/>
    <w:rsid w:val="13315A2F"/>
    <w:rsid w:val="134F44BD"/>
    <w:rsid w:val="13DB629F"/>
    <w:rsid w:val="142139F6"/>
    <w:rsid w:val="145246A6"/>
    <w:rsid w:val="14F45A07"/>
    <w:rsid w:val="15C6316A"/>
    <w:rsid w:val="15D259A9"/>
    <w:rsid w:val="16833FFF"/>
    <w:rsid w:val="180D0283"/>
    <w:rsid w:val="1935295C"/>
    <w:rsid w:val="1A690088"/>
    <w:rsid w:val="1A92644B"/>
    <w:rsid w:val="1A9E6F69"/>
    <w:rsid w:val="1B193EA5"/>
    <w:rsid w:val="1B65127F"/>
    <w:rsid w:val="1B7E21A9"/>
    <w:rsid w:val="1D9D29C5"/>
    <w:rsid w:val="20604E6B"/>
    <w:rsid w:val="20E43777"/>
    <w:rsid w:val="21536DBC"/>
    <w:rsid w:val="21A458C1"/>
    <w:rsid w:val="22811A2C"/>
    <w:rsid w:val="23620D1A"/>
    <w:rsid w:val="24346E74"/>
    <w:rsid w:val="25B76FF0"/>
    <w:rsid w:val="267A1062"/>
    <w:rsid w:val="27377E01"/>
    <w:rsid w:val="277C0C48"/>
    <w:rsid w:val="280433E6"/>
    <w:rsid w:val="292C35ED"/>
    <w:rsid w:val="294F5552"/>
    <w:rsid w:val="29502FD4"/>
    <w:rsid w:val="2A2E4BC0"/>
    <w:rsid w:val="2ACC4D63"/>
    <w:rsid w:val="2B162D28"/>
    <w:rsid w:val="2B5A212F"/>
    <w:rsid w:val="2BA647AD"/>
    <w:rsid w:val="2BAB0C35"/>
    <w:rsid w:val="2CCA1765"/>
    <w:rsid w:val="2CF7260B"/>
    <w:rsid w:val="2D624224"/>
    <w:rsid w:val="2DDB0EC9"/>
    <w:rsid w:val="2F3017FB"/>
    <w:rsid w:val="2FBC28E4"/>
    <w:rsid w:val="2FC82895"/>
    <w:rsid w:val="30B377D6"/>
    <w:rsid w:val="31200D24"/>
    <w:rsid w:val="31A671A5"/>
    <w:rsid w:val="31BB4D3B"/>
    <w:rsid w:val="32BC0C23"/>
    <w:rsid w:val="32EF7C1D"/>
    <w:rsid w:val="36C7606F"/>
    <w:rsid w:val="37B90E7A"/>
    <w:rsid w:val="395C5CA8"/>
    <w:rsid w:val="3AE12123"/>
    <w:rsid w:val="3B984845"/>
    <w:rsid w:val="3C7957BA"/>
    <w:rsid w:val="3D4424C8"/>
    <w:rsid w:val="3D6200C1"/>
    <w:rsid w:val="40AA0E51"/>
    <w:rsid w:val="419868AD"/>
    <w:rsid w:val="422B5A9B"/>
    <w:rsid w:val="42C07614"/>
    <w:rsid w:val="430123EF"/>
    <w:rsid w:val="432A1241"/>
    <w:rsid w:val="432B1AFF"/>
    <w:rsid w:val="435B5696"/>
    <w:rsid w:val="4391099B"/>
    <w:rsid w:val="44005783"/>
    <w:rsid w:val="4431169D"/>
    <w:rsid w:val="44DE2C50"/>
    <w:rsid w:val="45EF19CA"/>
    <w:rsid w:val="472E322D"/>
    <w:rsid w:val="475C711D"/>
    <w:rsid w:val="48A956B7"/>
    <w:rsid w:val="49787CE2"/>
    <w:rsid w:val="49D302DE"/>
    <w:rsid w:val="4B9A1F15"/>
    <w:rsid w:val="4BF06BEA"/>
    <w:rsid w:val="4F4E7DA7"/>
    <w:rsid w:val="50D64FD6"/>
    <w:rsid w:val="51846ACD"/>
    <w:rsid w:val="53C27326"/>
    <w:rsid w:val="53DC46A3"/>
    <w:rsid w:val="54BE32BA"/>
    <w:rsid w:val="558639B9"/>
    <w:rsid w:val="561A56F7"/>
    <w:rsid w:val="57511C1E"/>
    <w:rsid w:val="57844525"/>
    <w:rsid w:val="587B15C6"/>
    <w:rsid w:val="588B4BB5"/>
    <w:rsid w:val="5A6A0E67"/>
    <w:rsid w:val="5AAA3A4D"/>
    <w:rsid w:val="5C12599F"/>
    <w:rsid w:val="5D100641"/>
    <w:rsid w:val="5D793BEB"/>
    <w:rsid w:val="5DA60BA7"/>
    <w:rsid w:val="5F141414"/>
    <w:rsid w:val="5FE46263"/>
    <w:rsid w:val="60B37BB5"/>
    <w:rsid w:val="616B1562"/>
    <w:rsid w:val="61B326EC"/>
    <w:rsid w:val="61DB091C"/>
    <w:rsid w:val="630C3978"/>
    <w:rsid w:val="64966CE0"/>
    <w:rsid w:val="65757626"/>
    <w:rsid w:val="65E54639"/>
    <w:rsid w:val="67896569"/>
    <w:rsid w:val="694036BC"/>
    <w:rsid w:val="69480852"/>
    <w:rsid w:val="69CB581E"/>
    <w:rsid w:val="6C4D7ABB"/>
    <w:rsid w:val="6C822514"/>
    <w:rsid w:val="6DFF1D88"/>
    <w:rsid w:val="6E7B48EA"/>
    <w:rsid w:val="6F080FB9"/>
    <w:rsid w:val="70DE1770"/>
    <w:rsid w:val="7232276A"/>
    <w:rsid w:val="726B0346"/>
    <w:rsid w:val="731474DA"/>
    <w:rsid w:val="74450ED1"/>
    <w:rsid w:val="74E63577"/>
    <w:rsid w:val="78271E31"/>
    <w:rsid w:val="79E8078D"/>
    <w:rsid w:val="79FB11CD"/>
    <w:rsid w:val="7A080CC1"/>
    <w:rsid w:val="7CF365EB"/>
    <w:rsid w:val="7DF42531"/>
    <w:rsid w:val="7F2F6A35"/>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1897</Words>
  <Characters>10819</Characters>
  <Application>Microsoft Office Word</Application>
  <DocSecurity>0</DocSecurity>
  <Lines>90</Lines>
  <Paragraphs>25</Paragraphs>
  <ScaleCrop>false</ScaleCrop>
  <Company>P R C</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3</cp:revision>
  <cp:lastPrinted>2023-11-22T09:09:00Z</cp:lastPrinted>
  <dcterms:created xsi:type="dcterms:W3CDTF">2020-10-15T05:53:00Z</dcterms:created>
  <dcterms:modified xsi:type="dcterms:W3CDTF">2025-12-31T01:44:00Z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