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  <w:lang w:eastAsia="zh-CN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 w:cs="宋体"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C1-C6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【添利】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一般</w:t>
      </w:r>
      <w:r>
        <w:rPr>
          <w:rFonts w:hint="eastAsia" w:hAnsi="宋体"/>
          <w:b/>
          <w:color w:val="auto"/>
          <w:sz w:val="28"/>
          <w:szCs w:val="28"/>
        </w:rPr>
        <w:t>机构</w:t>
      </w:r>
      <w:r>
        <w:rPr>
          <w:rFonts w:hint="eastAsia" w:hAnsi="宋体"/>
          <w:b/>
          <w:color w:val="auto"/>
          <w:sz w:val="28"/>
          <w:szCs w:val="28"/>
          <w:lang w:val="en-US" w:eastAsia="zh-CN"/>
        </w:rPr>
        <w:t>客户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  <w:lang w:eastAsia="zh-CN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40" w:lineRule="auto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hint="eastAsia" w:ascii="黑体" w:hAnsi="黑体" w:eastAsia="黑体"/>
          <w:sz w:val="28"/>
          <w:szCs w:val="28"/>
        </w:rPr>
      </w:pP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兴银理财【添利】理财产品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r>
        <w:rPr>
          <w:rFonts w:hint="eastAsia" w:ascii="宋体" w:hAnsi="宋体"/>
          <w:sz w:val="18"/>
          <w:szCs w:val="18"/>
          <w:lang w:eastAsia="zh-CN"/>
        </w:rPr>
        <w:t>【】</w:t>
      </w:r>
      <w:r>
        <w:rPr>
          <w:rFonts w:hint="eastAsia" w:ascii="宋体" w:hAnsi="宋体"/>
          <w:sz w:val="18"/>
          <w:szCs w:val="18"/>
        </w:rPr>
        <w:t>以(□ 直销：产品管理人销售/□ 代销：代理销售机构销售)的形式购买兴银理财有限责任公司（以下简称“兴银理财”）作为产品管理人管理的理财产品。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投资者风险承受能力，机构投资者由低至高分为【】</w:t>
      </w:r>
      <w:r>
        <w:rPr>
          <w:rFonts w:ascii="宋体" w:hAnsi="宋体"/>
          <w:sz w:val="18"/>
          <w:szCs w:val="18"/>
        </w:rPr>
        <w:t>。其中，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为风险承受能力最低类别，</w:t>
      </w:r>
      <w:r>
        <w:rPr>
          <w:rFonts w:hint="eastAsia" w:ascii="宋体" w:hAnsi="宋体"/>
          <w:sz w:val="18"/>
          <w:szCs w:val="18"/>
        </w:rPr>
        <w:t>【】</w:t>
      </w:r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rz6pIZv9J6BWuVumVxe1jYii/UofWTnJ3Qkicbw1gS1pnSEKrCHBXxyXWb9JndskbQKq/YtF1U6ZlRKrhky1g==" w:salt="xKltuT9rsFflxZpY37Qek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20B21"/>
    <w:rsid w:val="00044E9D"/>
    <w:rsid w:val="000466D9"/>
    <w:rsid w:val="00052540"/>
    <w:rsid w:val="000921B4"/>
    <w:rsid w:val="000C4846"/>
    <w:rsid w:val="000E1A5F"/>
    <w:rsid w:val="000E6147"/>
    <w:rsid w:val="00106877"/>
    <w:rsid w:val="001201EA"/>
    <w:rsid w:val="001242AF"/>
    <w:rsid w:val="00141624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A6909"/>
    <w:rsid w:val="002B0017"/>
    <w:rsid w:val="002B69B3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337B"/>
    <w:rsid w:val="004E5B8C"/>
    <w:rsid w:val="004F756D"/>
    <w:rsid w:val="005438C7"/>
    <w:rsid w:val="005514E2"/>
    <w:rsid w:val="00552ACB"/>
    <w:rsid w:val="00571A72"/>
    <w:rsid w:val="005A0FFB"/>
    <w:rsid w:val="005A17EF"/>
    <w:rsid w:val="005D158B"/>
    <w:rsid w:val="005D405A"/>
    <w:rsid w:val="005E4F9A"/>
    <w:rsid w:val="0060775A"/>
    <w:rsid w:val="00622E88"/>
    <w:rsid w:val="00641888"/>
    <w:rsid w:val="00661E32"/>
    <w:rsid w:val="006639A1"/>
    <w:rsid w:val="006B20CA"/>
    <w:rsid w:val="006B237F"/>
    <w:rsid w:val="006E4016"/>
    <w:rsid w:val="006F690F"/>
    <w:rsid w:val="00705E58"/>
    <w:rsid w:val="00710B52"/>
    <w:rsid w:val="00781AA5"/>
    <w:rsid w:val="007B0970"/>
    <w:rsid w:val="007B231D"/>
    <w:rsid w:val="007C6A06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91788"/>
    <w:rsid w:val="009B1EE5"/>
    <w:rsid w:val="009D1DC4"/>
    <w:rsid w:val="009D35C1"/>
    <w:rsid w:val="009E4DBC"/>
    <w:rsid w:val="00A112C9"/>
    <w:rsid w:val="00A21F06"/>
    <w:rsid w:val="00A646F7"/>
    <w:rsid w:val="00AA4438"/>
    <w:rsid w:val="00AB386C"/>
    <w:rsid w:val="00AC71D9"/>
    <w:rsid w:val="00B02055"/>
    <w:rsid w:val="00B12049"/>
    <w:rsid w:val="00B314E7"/>
    <w:rsid w:val="00B507EB"/>
    <w:rsid w:val="00B75610"/>
    <w:rsid w:val="00BC0053"/>
    <w:rsid w:val="00BE3E99"/>
    <w:rsid w:val="00BE4E6B"/>
    <w:rsid w:val="00BF7C2F"/>
    <w:rsid w:val="00C018F3"/>
    <w:rsid w:val="00C202DE"/>
    <w:rsid w:val="00C32FF7"/>
    <w:rsid w:val="00C37EB3"/>
    <w:rsid w:val="00C827C4"/>
    <w:rsid w:val="00C8683D"/>
    <w:rsid w:val="00C86FD7"/>
    <w:rsid w:val="00D01E10"/>
    <w:rsid w:val="00D237B3"/>
    <w:rsid w:val="00D56354"/>
    <w:rsid w:val="00D71983"/>
    <w:rsid w:val="00D917DB"/>
    <w:rsid w:val="00DB5CAA"/>
    <w:rsid w:val="00DB67D6"/>
    <w:rsid w:val="00DC6391"/>
    <w:rsid w:val="00DD5F6E"/>
    <w:rsid w:val="00E01CA3"/>
    <w:rsid w:val="00E077CB"/>
    <w:rsid w:val="00E236CC"/>
    <w:rsid w:val="00E5408F"/>
    <w:rsid w:val="00EA7D7F"/>
    <w:rsid w:val="00EF1A43"/>
    <w:rsid w:val="00F126D2"/>
    <w:rsid w:val="00F24388"/>
    <w:rsid w:val="00F33265"/>
    <w:rsid w:val="00F47A61"/>
    <w:rsid w:val="00F55639"/>
    <w:rsid w:val="00F63C18"/>
    <w:rsid w:val="00F74AE2"/>
    <w:rsid w:val="00F81CAA"/>
    <w:rsid w:val="00FA461D"/>
    <w:rsid w:val="00FD0D35"/>
    <w:rsid w:val="04AD52CA"/>
    <w:rsid w:val="0E981DAE"/>
    <w:rsid w:val="2D632DB8"/>
    <w:rsid w:val="4D513CF1"/>
    <w:rsid w:val="52D44062"/>
    <w:rsid w:val="620D133E"/>
    <w:rsid w:val="6FB9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429</Words>
  <Characters>2446</Characters>
  <Lines>20</Lines>
  <Paragraphs>5</Paragraphs>
  <TotalTime>1</TotalTime>
  <ScaleCrop>false</ScaleCrop>
  <LinksUpToDate>false</LinksUpToDate>
  <CharactersWithSpaces>2870</CharactersWithSpaces>
  <Application>WPS Office_11.8.2.12309_F1E327BC-269C-435d-A152-05C5408002CA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2024-03-04T03:18:00Z</dcterms:created>
  <dc:creator>胡骁潇</dc:creator>
  <cp:lastModifiedBy>cib</cp:lastModifiedBy>
  <dcterms:modified xsi:type="dcterms:W3CDTF">2025-05-13T01:23:41Z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F38CDB0A342847339B79C7443BD612BA</vt:lpwstr>
  </property>
</Properties>
</file>