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widowControl/>
        <w:spacing w:line="360" w:lineRule="auto"/>
        <w:jc w:val="center"/>
        <w:rPr>
          <w:rFonts w:ascii="黑体" w:hAnsi="黑体" w:eastAsia="黑体"/>
          <w:b/>
          <w:sz w:val="44"/>
          <w:szCs w:val="44"/>
        </w:rPr>
      </w:pPr>
      <w:r>
        <w:rPr>
          <w:rFonts w:hint="eastAsia" w:ascii="黑体" w:hAnsi="黑体" w:eastAsia="黑体"/>
          <w:b/>
          <w:sz w:val="44"/>
          <w:szCs w:val="44"/>
        </w:rPr>
        <w:t>兴银理财</w:t>
      </w:r>
      <w:permStart w:id="0" w:edGrp="everyone"/>
      <w:r>
        <w:rPr>
          <w:rFonts w:hint="eastAsia" w:ascii="黑体" w:hAnsi="黑体" w:eastAsia="黑体"/>
          <w:b/>
          <w:sz w:val="44"/>
          <w:szCs w:val="44"/>
        </w:rPr>
        <w:t>【添利】</w:t>
      </w:r>
      <w:permEnd w:id="0"/>
      <w:r>
        <w:rPr>
          <w:rFonts w:hint="eastAsia" w:ascii="黑体" w:hAnsi="黑体" w:eastAsia="黑体"/>
          <w:b/>
          <w:sz w:val="44"/>
          <w:szCs w:val="44"/>
        </w:rPr>
        <w:t>理财产品</w:t>
      </w:r>
    </w:p>
    <w:p>
      <w:pPr>
        <w:widowControl/>
        <w:spacing w:line="360" w:lineRule="auto"/>
        <w:jc w:val="center"/>
        <w:rPr>
          <w:b/>
          <w:szCs w:val="21"/>
        </w:rPr>
      </w:pPr>
      <w:r>
        <w:rPr>
          <w:rFonts w:hint="eastAsia" w:ascii="黑体" w:hAnsi="黑体" w:eastAsia="黑体"/>
          <w:b/>
          <w:sz w:val="44"/>
          <w:szCs w:val="44"/>
        </w:rPr>
        <w:t>销售文件</w:t>
      </w:r>
    </w:p>
    <w:tbl>
      <w:tblPr>
        <w:tblStyle w:val="25"/>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1" w:edGrp="everyone"/>
            <w:r>
              <w:rPr>
                <w:rFonts w:hint="eastAsia" w:ascii="宋体" w:hAnsi="宋体"/>
                <w:kern w:val="0"/>
                <w:sz w:val="20"/>
                <w:szCs w:val="21"/>
              </w:rPr>
              <w:t>【添利】</w:t>
            </w:r>
            <w:permEnd w:id="1"/>
            <w:r>
              <w:rPr>
                <w:rFonts w:hint="eastAsia" w:ascii="宋体" w:hAnsi="宋体"/>
                <w:kern w:val="0"/>
                <w:sz w:val="20"/>
                <w:szCs w:val="21"/>
              </w:rPr>
              <w:t>理财产品投资协议书</w:t>
            </w:r>
            <w:r>
              <w:rPr>
                <w:rFonts w:ascii="宋体" w:hAnsi="宋体"/>
                <w:kern w:val="0"/>
                <w:sz w:val="20"/>
                <w:szCs w:val="21"/>
              </w:rPr>
              <w:t xml:space="preserve"> </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2" w:edGrp="everyone"/>
            <w:r>
              <w:rPr>
                <w:rFonts w:hint="eastAsia" w:ascii="宋体" w:hAnsi="宋体"/>
                <w:kern w:val="0"/>
                <w:sz w:val="20"/>
                <w:szCs w:val="21"/>
              </w:rPr>
              <w:t>【添利】</w:t>
            </w:r>
            <w:permEnd w:id="2"/>
            <w:r>
              <w:rPr>
                <w:rFonts w:hint="eastAsia" w:ascii="宋体" w:hAnsi="宋体"/>
                <w:kern w:val="0"/>
                <w:sz w:val="20"/>
                <w:szCs w:val="21"/>
              </w:rPr>
              <w:t>理财产品产品说明书</w:t>
            </w:r>
          </w:p>
        </w:tc>
        <w:tc>
          <w:tcPr>
            <w:tcW w:w="2107" w:type="dxa"/>
          </w:tcPr>
          <w:p>
            <w:pPr>
              <w:pStyle w:val="58"/>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3</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3" w:edGrp="everyone"/>
            <w:r>
              <w:rPr>
                <w:rFonts w:hint="eastAsia" w:ascii="宋体" w:hAnsi="宋体"/>
                <w:kern w:val="0"/>
                <w:sz w:val="20"/>
                <w:szCs w:val="21"/>
              </w:rPr>
              <w:t>【添利】</w:t>
            </w:r>
            <w:permEnd w:id="3"/>
            <w:r>
              <w:rPr>
                <w:rFonts w:hint="eastAsia" w:ascii="宋体" w:hAnsi="宋体"/>
                <w:kern w:val="0"/>
                <w:sz w:val="20"/>
                <w:szCs w:val="21"/>
              </w:rPr>
              <w:t>理财产品（代理）销售协议书</w:t>
            </w:r>
          </w:p>
        </w:tc>
        <w:tc>
          <w:tcPr>
            <w:tcW w:w="2107"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4" w:edGrp="everyone"/>
            <w:r>
              <w:rPr>
                <w:rFonts w:hint="eastAsia" w:ascii="宋体" w:hAnsi="宋体"/>
                <w:kern w:val="0"/>
                <w:sz w:val="20"/>
                <w:szCs w:val="21"/>
              </w:rPr>
              <w:t>【添利】</w:t>
            </w:r>
            <w:permEnd w:id="4"/>
            <w:r>
              <w:rPr>
                <w:rFonts w:hint="eastAsia" w:ascii="宋体" w:hAnsi="宋体"/>
                <w:kern w:val="0"/>
                <w:sz w:val="20"/>
                <w:szCs w:val="21"/>
              </w:rPr>
              <w:t>理财产品风险揭示书</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5" w:edGrp="everyone"/>
            <w:r>
              <w:rPr>
                <w:rFonts w:hint="eastAsia" w:ascii="宋体" w:hAnsi="宋体"/>
                <w:kern w:val="0"/>
                <w:sz w:val="20"/>
                <w:szCs w:val="21"/>
              </w:rPr>
              <w:t>【添利】</w:t>
            </w:r>
            <w:permEnd w:id="5"/>
            <w:r>
              <w:rPr>
                <w:rFonts w:hint="eastAsia" w:ascii="宋体" w:hAnsi="宋体"/>
                <w:kern w:val="0"/>
                <w:sz w:val="20"/>
                <w:szCs w:val="21"/>
              </w:rPr>
              <w:t>理财产品投资者权益须知</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pPr>
        <w:widowControl/>
        <w:spacing w:line="360" w:lineRule="auto"/>
        <w:jc w:val="left"/>
        <w:rPr>
          <w:rFonts w:ascii="黑体" w:hAnsi="黑体" w:eastAsia="黑体"/>
          <w:b/>
          <w:szCs w:val="21"/>
        </w:rPr>
      </w:pPr>
      <w:r>
        <w:rPr>
          <w:rFonts w:hint="eastAsia" w:ascii="黑体" w:hAnsi="黑体" w:eastAsia="黑体"/>
          <w:b/>
          <w:szCs w:val="21"/>
        </w:rPr>
        <w:t>郑重提示：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1.销售文件的组成和编制的提示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w:t>
      </w:r>
      <w:r>
        <w:rPr>
          <w:rFonts w:hint="eastAsia" w:ascii="黑体" w:hAnsi="黑体" w:eastAsia="黑体"/>
          <w:kern w:val="0"/>
          <w:szCs w:val="21"/>
        </w:rPr>
        <w:t>2</w:t>
      </w:r>
      <w:r>
        <w:rPr>
          <w:rFonts w:ascii="黑体" w:hAnsi="黑体" w:eastAsia="黑体"/>
          <w:kern w:val="0"/>
          <w:szCs w:val="21"/>
        </w:rPr>
        <w:t>021年第</w:t>
      </w:r>
      <w:r>
        <w:rPr>
          <w:rFonts w:hint="eastAsia" w:ascii="黑体" w:hAnsi="黑体" w:eastAsia="黑体"/>
          <w:kern w:val="0"/>
          <w:szCs w:val="21"/>
        </w:rPr>
        <w:t>4号）第2</w:t>
      </w:r>
      <w:r>
        <w:rPr>
          <w:rFonts w:ascii="黑体" w:hAnsi="黑体" w:eastAsia="黑体"/>
          <w:kern w:val="0"/>
          <w:szCs w:val="21"/>
        </w:rPr>
        <w:t>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2.投资者适当性的提示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58"/>
        <w:widowControl/>
        <w:snapToGrid w:val="0"/>
        <w:spacing w:line="360" w:lineRule="auto"/>
        <w:rPr>
          <w:rFonts w:ascii="黑体" w:hAnsi="黑体" w:eastAsia="黑体"/>
          <w:kern w:val="0"/>
          <w:szCs w:val="21"/>
        </w:rPr>
      </w:pPr>
      <w:r>
        <w:rPr>
          <w:rFonts w:ascii="黑体" w:hAnsi="黑体" w:eastAsia="黑体"/>
          <w:kern w:val="0"/>
          <w:szCs w:val="21"/>
        </w:rPr>
        <w:t>3</w:t>
      </w:r>
      <w:r>
        <w:rPr>
          <w:rFonts w:hint="eastAsia" w:ascii="黑体" w:hAnsi="黑体" w:eastAsia="黑体"/>
          <w:kern w:val="0"/>
          <w:szCs w:val="21"/>
        </w:rPr>
        <w:t>.</w:t>
      </w:r>
      <w:r>
        <w:rPr>
          <w:rFonts w:ascii="黑体" w:hAnsi="黑体" w:eastAsia="黑体"/>
          <w:kern w:val="0"/>
          <w:szCs w:val="21"/>
        </w:rPr>
        <w:t>签署合同</w:t>
      </w:r>
      <w:r>
        <w:rPr>
          <w:rFonts w:hint="eastAsia" w:ascii="黑体" w:hAnsi="黑体" w:eastAsia="黑体"/>
          <w:kern w:val="0"/>
          <w:szCs w:val="21"/>
        </w:rPr>
        <w:t>前</w:t>
      </w:r>
      <w:r>
        <w:rPr>
          <w:rFonts w:ascii="黑体" w:hAnsi="黑体" w:eastAsia="黑体"/>
          <w:kern w:val="0"/>
          <w:szCs w:val="21"/>
        </w:rPr>
        <w:t>阅读全部条款的提示</w:t>
      </w:r>
    </w:p>
    <w:p>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pPr>
        <w:tabs>
          <w:tab w:val="left" w:pos="6660"/>
        </w:tabs>
        <w:spacing w:line="360" w:lineRule="auto"/>
        <w:jc w:val="center"/>
        <w:rPr>
          <w:rFonts w:ascii="黑体" w:hAnsi="黑体" w:eastAsia="黑体"/>
          <w:kern w:val="0"/>
          <w:szCs w:val="21"/>
        </w:rPr>
      </w:pPr>
    </w:p>
    <w:p>
      <w:pPr>
        <w:tabs>
          <w:tab w:val="left" w:pos="6660"/>
        </w:tabs>
        <w:spacing w:line="360" w:lineRule="auto"/>
        <w:jc w:val="center"/>
        <w:rPr>
          <w:bCs/>
          <w:sz w:val="44"/>
        </w:rPr>
      </w:pPr>
    </w:p>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spacing w:line="360" w:lineRule="auto"/>
        <w:jc w:val="center"/>
        <w:rPr>
          <w:b/>
          <w:sz w:val="52"/>
        </w:rPr>
      </w:pP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兴银理财</w:t>
      </w:r>
      <w:permStart w:id="6" w:edGrp="everyone"/>
      <w:r>
        <w:rPr>
          <w:rStyle w:val="27"/>
          <w:rFonts w:hint="eastAsia" w:ascii="黑体" w:hAnsi="黑体" w:eastAsia="黑体" w:cs="宋体"/>
          <w:sz w:val="44"/>
          <w:szCs w:val="44"/>
        </w:rPr>
        <w:t>【添利】</w:t>
      </w:r>
      <w:permEnd w:id="6"/>
      <w:r>
        <w:rPr>
          <w:rStyle w:val="27"/>
          <w:rFonts w:hint="eastAsia" w:ascii="黑体" w:hAnsi="黑体" w:eastAsia="黑体" w:cs="宋体"/>
          <w:sz w:val="44"/>
          <w:szCs w:val="44"/>
        </w:rPr>
        <w:t>理财产品</w:t>
      </w: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ermStart w:id="7" w:edGrp="everyone"/>
      <w:r>
        <w:rPr>
          <w:rFonts w:hint="eastAsia" w:ascii="黑体" w:hAnsi="黑体" w:eastAsia="黑体"/>
          <w:b/>
          <w:sz w:val="28"/>
          <w:szCs w:val="28"/>
        </w:rPr>
        <w:t>【】</w:t>
      </w:r>
      <w:permEnd w:id="7"/>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rPr>
          <w:rStyle w:val="27"/>
          <w:rFonts w:ascii="宋体" w:hAnsi="宋体"/>
          <w:sz w:val="28"/>
          <w:szCs w:val="28"/>
        </w:rPr>
      </w:pPr>
      <w:bookmarkStart w:id="0" w:name="_Toc139992301"/>
      <w:bookmarkStart w:id="1" w:name="_Toc139991726"/>
      <w:bookmarkStart w:id="2" w:name="_Toc123112224"/>
      <w:bookmarkStart w:id="3" w:name="_Toc123112263"/>
      <w:bookmarkStart w:id="4" w:name="_Toc123701383"/>
      <w:r>
        <w:rPr>
          <w:rStyle w:val="27"/>
          <w:rFonts w:hint="eastAsia" w:ascii="宋体" w:hAnsi="宋体"/>
          <w:sz w:val="28"/>
          <w:szCs w:val="28"/>
        </w:rPr>
        <w:t>理财产品管理人：</w:t>
      </w:r>
      <w:bookmarkEnd w:id="0"/>
      <w:bookmarkEnd w:id="1"/>
      <w:bookmarkEnd w:id="2"/>
      <w:bookmarkEnd w:id="3"/>
      <w:bookmarkEnd w:id="4"/>
      <w:r>
        <w:rPr>
          <w:rStyle w:val="27"/>
          <w:rFonts w:hint="eastAsia" w:ascii="宋体" w:hAnsi="宋体"/>
          <w:sz w:val="28"/>
          <w:szCs w:val="28"/>
        </w:rPr>
        <w:t>兴银理财有限责任公司</w:t>
      </w:r>
    </w:p>
    <w:p>
      <w:pPr>
        <w:adjustRightInd w:val="0"/>
        <w:spacing w:line="360" w:lineRule="auto"/>
        <w:jc w:val="center"/>
        <w:rPr>
          <w:rStyle w:val="27"/>
          <w:rFonts w:ascii="黑体" w:hAnsi="黑体" w:eastAsia="黑体" w:cs="宋体"/>
          <w:sz w:val="28"/>
          <w:szCs w:val="28"/>
        </w:rPr>
      </w:pPr>
      <w:bookmarkStart w:id="5" w:name="_Toc139992302"/>
      <w:bookmarkStart w:id="6" w:name="_Toc123112264"/>
      <w:bookmarkStart w:id="7" w:name="_Toc139991727"/>
      <w:bookmarkStart w:id="8" w:name="_Toc123701384"/>
      <w:bookmarkStart w:id="9" w:name="_Toc123112225"/>
    </w:p>
    <w:bookmarkEnd w:id="5"/>
    <w:bookmarkEnd w:id="6"/>
    <w:bookmarkEnd w:id="7"/>
    <w:bookmarkEnd w:id="8"/>
    <w:bookmarkEnd w:id="9"/>
    <w:p>
      <w:pPr>
        <w:adjustRightInd w:val="0"/>
        <w:spacing w:line="360" w:lineRule="auto"/>
        <w:jc w:val="center"/>
        <w:rPr>
          <w:rStyle w:val="27"/>
          <w:rFonts w:ascii="黑体" w:hAnsi="黑体" w:eastAsia="黑体" w:cs="宋体"/>
          <w:sz w:val="28"/>
          <w:szCs w:val="28"/>
        </w:rPr>
      </w:pPr>
    </w:p>
    <w:p>
      <w:pPr>
        <w:adjustRightInd w:val="0"/>
        <w:spacing w:line="360" w:lineRule="auto"/>
        <w:jc w:val="center"/>
        <w:rPr>
          <w:rStyle w:val="27"/>
          <w:rFonts w:ascii="宋体" w:hAnsi="宋体"/>
          <w:sz w:val="28"/>
          <w:szCs w:val="28"/>
        </w:rPr>
      </w:pPr>
      <w:r>
        <w:rPr>
          <w:rStyle w:val="27"/>
          <w:rFonts w:hint="eastAsia" w:ascii="宋体" w:hAnsi="宋体"/>
          <w:sz w:val="28"/>
          <w:szCs w:val="28"/>
        </w:rPr>
        <w:t>日期</w:t>
      </w:r>
      <w:r>
        <w:rPr>
          <w:rStyle w:val="27"/>
          <w:rFonts w:ascii="宋体" w:hAnsi="宋体"/>
          <w:sz w:val="28"/>
          <w:szCs w:val="28"/>
        </w:rPr>
        <w:t>：</w:t>
      </w:r>
      <w:permStart w:id="8" w:edGrp="everyone"/>
      <w:r>
        <w:rPr>
          <w:rStyle w:val="27"/>
          <w:rFonts w:hint="eastAsia" w:ascii="宋体" w:hAnsi="宋体"/>
          <w:sz w:val="28"/>
          <w:szCs w:val="28"/>
        </w:rPr>
        <w:t>【</w:t>
      </w:r>
      <w:r>
        <w:rPr>
          <w:rStyle w:val="27"/>
          <w:rFonts w:hint="eastAsia" w:ascii="宋体" w:hAnsi="宋体"/>
          <w:sz w:val="28"/>
          <w:szCs w:val="28"/>
          <w:lang w:val="en-US" w:eastAsia="zh-CN"/>
        </w:rPr>
        <w:t>2025</w:t>
      </w:r>
      <w:r>
        <w:rPr>
          <w:rStyle w:val="27"/>
          <w:rFonts w:hint="eastAsia" w:ascii="宋体" w:hAnsi="宋体"/>
          <w:sz w:val="28"/>
          <w:szCs w:val="28"/>
        </w:rPr>
        <w:t>】年【</w:t>
      </w:r>
      <w:r>
        <w:rPr>
          <w:rStyle w:val="27"/>
          <w:rFonts w:hint="eastAsia" w:ascii="宋体" w:hAnsi="宋体"/>
          <w:sz w:val="28"/>
          <w:szCs w:val="28"/>
          <w:lang w:val="en-US" w:eastAsia="zh-CN"/>
        </w:rPr>
        <w:t>5</w:t>
      </w:r>
      <w:r>
        <w:rPr>
          <w:rStyle w:val="27"/>
          <w:rFonts w:hint="eastAsia" w:ascii="宋体" w:hAnsi="宋体"/>
          <w:sz w:val="28"/>
          <w:szCs w:val="28"/>
        </w:rPr>
        <w:t>】月</w:t>
      </w:r>
      <w:permEnd w:id="8"/>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pPr>
        <w:tabs>
          <w:tab w:val="left" w:pos="8070"/>
          <w:tab w:val="right" w:pos="8306"/>
        </w:tabs>
        <w:autoSpaceDE w:val="0"/>
        <w:autoSpaceDN w:val="0"/>
        <w:adjustRightInd w:val="0"/>
        <w:snapToGrid w:val="0"/>
        <w:spacing w:before="156" w:beforeLines="50" w:line="360" w:lineRule="auto"/>
        <w:rPr>
          <w:bCs/>
          <w:sz w:val="32"/>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（1）情形1：所有销售文件都由产品管理人统一编制。其中，《投资协议书》《产品说明书》《（代理）销售协议书》《风险揭示书》《投资者权益须知》等销售文件均由产品管理人统一编制。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机构进行编制。其中，《投资协议书》和《产品说明书》由产品管理人统一编制；《（代理）销售协议书》《风险揭示书》《投资者权益须知》等销售文件，此等销售文件中的之一或之二或全部，由于代理销售机构的需求而由理财公司委托代理销售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关于理财产品信息披露的提示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pPr>
              <w:pStyle w:val="21"/>
              <w:snapToGrid w:val="0"/>
              <w:spacing w:before="0" w:beforeAutospacing="0" w:after="0" w:afterAutospacing="0" w:line="360" w:lineRule="auto"/>
              <w:jc w:val="both"/>
              <w:rPr>
                <w:bCs/>
                <w:sz w:val="32"/>
              </w:rPr>
            </w:pPr>
            <w:r>
              <w:rPr>
                <w:rFonts w:hint="eastAsia" w:ascii="黑体" w:hAnsi="黑体" w:eastAsia="黑体"/>
                <w:bCs/>
                <w:sz w:val="18"/>
                <w:szCs w:val="18"/>
              </w:rPr>
              <w:t>投资者对本理财产品及销售文件的内容有任何疑问，请向产品管理人或销售机构咨询。</w:t>
            </w:r>
          </w:p>
        </w:tc>
      </w:tr>
    </w:tbl>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27"/>
      <w:bookmarkStart w:id="11" w:name="_Toc139991729"/>
      <w:bookmarkStart w:id="12" w:name="_Toc123112266"/>
      <w:bookmarkStart w:id="13" w:name="_Toc123701386"/>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9" w:edGrp="everyone" w:colFirst="3" w:colLast="3"/>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个人投资者适用</w:t>
            </w: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姓名</w:t>
            </w:r>
          </w:p>
        </w:tc>
        <w:tc>
          <w:tcPr>
            <w:tcW w:w="6389" w:type="dxa"/>
            <w:gridSpan w:val="3"/>
            <w:shd w:val="solid" w:color="FFFFFF" w:fill="FFFFFF"/>
            <w:vAlign w:val="center"/>
          </w:tcPr>
          <w:p>
            <w:pPr>
              <w:spacing w:line="360" w:lineRule="auto"/>
              <w:jc w:val="left"/>
              <w:rPr>
                <w:rFonts w:ascii="宋体" w:hAnsi="宋体"/>
                <w:bCs/>
                <w:sz w:val="18"/>
                <w:szCs w:val="18"/>
              </w:rPr>
            </w:pPr>
          </w:p>
        </w:tc>
      </w:tr>
      <w:permEnd w:id="9"/>
      <w:tr>
        <w:tblPrEx>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0" w:edGrp="everyone" w:colFirst="3" w:colLast="3"/>
            <w:permStart w:id="11" w:edGrp="everyone" w:colFirst="5" w:colLast="5"/>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shd w:val="solid" w:color="FFFFFF" w:fill="FFFFFF"/>
            <w:vAlign w:val="center"/>
          </w:tcPr>
          <w:p>
            <w:pPr>
              <w:spacing w:line="360" w:lineRule="auto"/>
              <w:jc w:val="left"/>
              <w:rPr>
                <w:rFonts w:ascii="宋体" w:hAnsi="宋体"/>
                <w:bCs/>
                <w:sz w:val="18"/>
                <w:szCs w:val="18"/>
              </w:rPr>
            </w:pPr>
          </w:p>
        </w:tc>
      </w:tr>
      <w:permEnd w:id="10"/>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2" w:edGrp="everyone" w:colFirst="3" w:colLast="3"/>
            <w:permStart w:id="13" w:edGrp="everyone" w:colFirst="5" w:colLast="5"/>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shd w:val="solid" w:color="FFFFFF" w:fill="FFFFFF"/>
            <w:vAlign w:val="center"/>
          </w:tcPr>
          <w:p>
            <w:pPr>
              <w:spacing w:line="360" w:lineRule="auto"/>
              <w:jc w:val="left"/>
              <w:rPr>
                <w:rFonts w:ascii="宋体" w:hAnsi="宋体"/>
                <w:bCs/>
                <w:sz w:val="18"/>
                <w:szCs w:val="18"/>
              </w:rPr>
            </w:pPr>
          </w:p>
        </w:tc>
      </w:tr>
      <w:permEnd w:id="12"/>
      <w:permEnd w:id="13"/>
      <w:tr>
        <w:tblPrEx>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4" w:edGrp="everyone" w:colFirst="3" w:colLast="3"/>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shd w:val="solid" w:color="FFFFFF" w:fill="FFFFFF"/>
            <w:vAlign w:val="center"/>
          </w:tcPr>
          <w:p>
            <w:pPr>
              <w:spacing w:line="360" w:lineRule="auto"/>
              <w:jc w:val="left"/>
              <w:rPr>
                <w:rFonts w:ascii="宋体" w:hAnsi="宋体"/>
                <w:bCs/>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5" w:edGrp="everyone" w:colFirst="3" w:colLast="3"/>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Cs/>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6" w:edGrp="everyone" w:colFirst="3" w:colLast="3"/>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7" w:edGrp="everyone" w:colFirst="3" w:colLast="3"/>
            <w:permStart w:id="18"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7"/>
      <w:permEnd w:id="1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9"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0" w:edGrp="everyone" w:colFirst="3" w:colLast="3"/>
            <w:permStart w:id="21"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0"/>
      <w:permEnd w:id="2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2"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2"/>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ermStart w:id="23" w:edGrp="everyone" w:colFirst="3" w:colLast="3"/>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本公司系根据原中国银保监会（现国家金融监督管理总局）批准设立的由兴业银行股份有限公司全资控股的银行理财子公司。公司名称：中文为“兴银理财有限责任公司”；英文：“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hint="eastAsia" w:ascii="宋体" w:hAnsi="宋体"/>
                <w:bCs/>
                <w:sz w:val="18"/>
                <w:szCs w:val="18"/>
              </w:rPr>
              <w:t>业务范围为：面向不特定社会公众公开发行理财产品，对受托的投资和财产进行投资和管理；面向合格投资者非公开发行理财产品，对受托的投资和财产进行投资和管理；理财顾问和咨询服务；经监管部门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24" w:edGrp="everyone" w:colFirst="0" w:colLast="0"/>
            <w:permStart w:id="25" w:edGrp="everyone" w:colFirst="1" w:colLast="1"/>
            <w:permStart w:id="26" w:edGrp="everyone" w:colFirst="2" w:colLast="2"/>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Theme="minorEastAsia" w:hAnsiTheme="minorEastAsia"/>
                <w:sz w:val="18"/>
                <w:szCs w:val="18"/>
              </w:rPr>
              <w:t>兴银理财添利天天利</w:t>
            </w:r>
            <w:r>
              <w:rPr>
                <w:rFonts w:hint="eastAsia" w:asciiTheme="minorEastAsia" w:hAnsiTheme="minorEastAsia"/>
                <w:sz w:val="18"/>
                <w:szCs w:val="18"/>
                <w:lang w:val="en-US" w:eastAsia="zh-CN"/>
              </w:rPr>
              <w:t>53</w:t>
            </w:r>
            <w:r>
              <w:rPr>
                <w:rFonts w:hint="eastAsia" w:asciiTheme="minorEastAsia" w:hAnsiTheme="minorEastAsia"/>
                <w:sz w:val="18"/>
                <w:szCs w:val="18"/>
              </w:rPr>
              <w:t>号现金管理型理财产品</w:t>
            </w:r>
            <w:r>
              <w:rPr>
                <w:rFonts w:hint="eastAsia" w:ascii="宋体" w:hAnsi="宋体"/>
                <w:bCs/>
                <w:sz w:val="18"/>
                <w:szCs w:val="18"/>
              </w:rPr>
              <w:t>】</w:t>
            </w:r>
          </w:p>
        </w:tc>
      </w:tr>
      <w:permEnd w:id="24"/>
      <w:permEnd w:id="25"/>
      <w:permEnd w:id="2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7" w:edGrp="everyone" w:colFirst="0" w:colLast="0"/>
            <w:permStart w:id="28" w:edGrp="everyone" w:colFirst="1" w:colLast="1"/>
            <w:permStart w:id="29" w:edGrp="everyone" w:colFirst="2" w:colLast="2"/>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产品销售名称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w:t>
            </w:r>
            <w:r>
              <w:rPr>
                <w:rFonts w:hint="eastAsia" w:asciiTheme="minorEastAsia" w:hAnsiTheme="minorEastAsia"/>
                <w:sz w:val="18"/>
                <w:szCs w:val="18"/>
              </w:rPr>
              <w:t>兴银添利天天利</w:t>
            </w:r>
            <w:r>
              <w:rPr>
                <w:rFonts w:hint="eastAsia" w:asciiTheme="minorEastAsia" w:hAnsiTheme="minorEastAsia"/>
                <w:sz w:val="18"/>
                <w:szCs w:val="18"/>
                <w:lang w:val="en-US" w:eastAsia="zh-CN"/>
              </w:rPr>
              <w:t>53号D</w:t>
            </w:r>
            <w:r>
              <w:rPr>
                <w:rFonts w:hint="eastAsia" w:ascii="宋体" w:hAnsi="宋体"/>
                <w:bCs/>
                <w:sz w:val="18"/>
                <w:szCs w:val="18"/>
              </w:rPr>
              <w:t>】</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D</w:t>
            </w:r>
            <w:r>
              <w:rPr>
                <w:rFonts w:hint="eastAsia" w:ascii="宋体" w:hAnsi="宋体"/>
                <w:bCs/>
                <w:color w:val="000000" w:themeColor="text1"/>
                <w:sz w:val="18"/>
                <w:szCs w:val="18"/>
                <w14:textFill>
                  <w14:solidFill>
                    <w14:schemeClr w14:val="tx1"/>
                  </w14:solidFill>
                </w14:textFill>
              </w:rPr>
              <w:t>】类份额）</w:t>
            </w:r>
          </w:p>
        </w:tc>
      </w:tr>
      <w:permEnd w:id="27"/>
      <w:permEnd w:id="28"/>
      <w:permEnd w:id="2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30" w:edGrp="everyone" w:colFirst="0" w:colLast="0"/>
            <w:permStart w:id="31" w:edGrp="everyone" w:colFirst="1" w:colLast="1"/>
            <w:permStart w:id="32" w:edGrp="everyone" w:colFirst="2" w:colLast="2"/>
          </w:p>
        </w:tc>
        <w:tc>
          <w:tcPr>
            <w:tcW w:w="1690" w:type="dxa"/>
            <w:gridSpan w:val="2"/>
            <w:shd w:val="solid" w:color="FFFFFF" w:fill="FFFFFF"/>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产品登记编码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【Z70020250001</w:t>
            </w:r>
            <w:r>
              <w:rPr>
                <w:rFonts w:hint="eastAsia" w:ascii="宋体" w:hAnsi="宋体"/>
                <w:bCs/>
                <w:sz w:val="18"/>
                <w:szCs w:val="18"/>
                <w:lang w:val="en-US" w:eastAsia="zh-CN"/>
              </w:rPr>
              <w:t>27</w:t>
            </w:r>
            <w:r>
              <w:rPr>
                <w:rFonts w:hint="eastAsia" w:ascii="宋体" w:hAnsi="宋体"/>
                <w:bCs/>
                <w:sz w:val="18"/>
                <w:szCs w:val="18"/>
              </w:rPr>
              <w:t>】注：投资者可依据理财产品登记编码在中国理财网查询产品信息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permEnd w:id="30"/>
      <w:permEnd w:id="31"/>
      <w:permEnd w:id="32"/>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33" w:edGrp="everyone" w:colFirst="0" w:colLast="0"/>
            <w:permStart w:id="34" w:edGrp="everyone" w:colFirst="1" w:colLast="1"/>
            <w:permStart w:id="35" w:edGrp="everyone" w:colFirst="2" w:colLast="2"/>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w:t>
            </w:r>
            <w:r>
              <w:rPr>
                <w:rFonts w:ascii="宋体" w:hAnsi="宋体"/>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9TTL9</w:t>
            </w:r>
            <w:r>
              <w:rPr>
                <w:rFonts w:hint="eastAsia" w:ascii="宋体" w:hAnsi="宋体"/>
                <w:bCs/>
                <w:color w:val="000000" w:themeColor="text1"/>
                <w:sz w:val="18"/>
                <w:szCs w:val="18"/>
                <w:lang w:val="en-US" w:eastAsia="zh-CN"/>
                <w14:textFill>
                  <w14:solidFill>
                    <w14:schemeClr w14:val="tx1"/>
                  </w14:solidFill>
                </w14:textFill>
              </w:rPr>
              <w:t>53</w:t>
            </w:r>
            <w:r>
              <w:rPr>
                <w:rFonts w:hint="eastAsia" w:ascii="宋体" w:hAnsi="宋体"/>
                <w:bCs/>
                <w:color w:val="000000" w:themeColor="text1"/>
                <w:sz w:val="18"/>
                <w:szCs w:val="18"/>
                <w14:textFill>
                  <w14:solidFill>
                    <w14:schemeClr w14:val="tx1"/>
                  </w14:solidFill>
                </w14:textFill>
              </w:rPr>
              <w:t>0</w:t>
            </w:r>
            <w:r>
              <w:rPr>
                <w:rFonts w:ascii="宋体" w:hAnsi="宋体"/>
                <w:bCs/>
                <w:color w:val="000000" w:themeColor="text1"/>
                <w:sz w:val="18"/>
                <w:szCs w:val="18"/>
                <w14:textFill>
                  <w14:solidFill>
                    <w14:schemeClr w14:val="tx1"/>
                  </w14:solidFill>
                </w14:textFill>
              </w:rPr>
              <w:t>】</w:t>
            </w:r>
          </w:p>
        </w:tc>
      </w:tr>
      <w:permEnd w:id="33"/>
      <w:permEnd w:id="34"/>
      <w:permEnd w:id="3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36" w:edGrp="everyone" w:colFirst="0" w:colLast="0"/>
            <w:permStart w:id="37" w:edGrp="everyone" w:colFirst="1" w:colLast="1"/>
            <w:permStart w:id="38" w:edGrp="everyone" w:colFirst="2" w:colLast="2"/>
          </w:p>
        </w:tc>
        <w:tc>
          <w:tcPr>
            <w:tcW w:w="1690" w:type="dxa"/>
            <w:gridSpan w:val="2"/>
            <w:shd w:val="solid" w:color="FFFFFF" w:fill="FFFFFF"/>
            <w:vAlign w:val="center"/>
          </w:tcPr>
          <w:p>
            <w:pPr>
              <w:spacing w:line="320" w:lineRule="exact"/>
              <w:jc w:val="left"/>
              <w:rPr>
                <w:rFonts w:hAnsi="宋体"/>
                <w:sz w:val="18"/>
                <w:szCs w:val="18"/>
              </w:rPr>
            </w:pPr>
            <w:r>
              <w:rPr>
                <w:rFonts w:hint="eastAsia" w:hAnsi="宋体"/>
                <w:sz w:val="18"/>
                <w:szCs w:val="18"/>
              </w:rPr>
              <w:t>★</w:t>
            </w:r>
            <w:r>
              <w:rPr>
                <w:rFonts w:hint="eastAsia" w:ascii="宋体" w:hAnsi="宋体"/>
                <w:bCs/>
                <w:sz w:val="18"/>
                <w:szCs w:val="18"/>
              </w:rPr>
              <w:t>销售</w:t>
            </w:r>
            <w:r>
              <w:rPr>
                <w:rFonts w:ascii="宋体" w:hAnsi="宋体"/>
                <w:bCs/>
                <w:sz w:val="18"/>
                <w:szCs w:val="18"/>
              </w:rPr>
              <w:t>代码</w:t>
            </w:r>
          </w:p>
        </w:tc>
        <w:tc>
          <w:tcPr>
            <w:tcW w:w="6389" w:type="dxa"/>
            <w:gridSpan w:val="3"/>
            <w:shd w:val="solid" w:color="FFFFFF" w:fill="FFFFFF"/>
            <w:vAlign w:val="center"/>
          </w:tcPr>
          <w:p>
            <w:pPr>
              <w:spacing w:line="320" w:lineRule="exact"/>
              <w:jc w:val="lef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w:t>
            </w:r>
            <w:r>
              <w:rPr>
                <w:rFonts w:hint="eastAsia" w:ascii="宋体" w:hAnsi="宋体"/>
                <w:bCs/>
                <w:sz w:val="18"/>
                <w:szCs w:val="18"/>
              </w:rPr>
              <w:t>9TTL9</w:t>
            </w:r>
            <w:r>
              <w:rPr>
                <w:rFonts w:hint="eastAsia" w:ascii="宋体" w:hAnsi="宋体"/>
                <w:bCs/>
                <w:sz w:val="18"/>
                <w:szCs w:val="18"/>
                <w:lang w:val="en-US" w:eastAsia="zh-CN"/>
              </w:rPr>
              <w:t>53D</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D</w:t>
            </w:r>
            <w:bookmarkStart w:id="66" w:name="_GoBack"/>
            <w:bookmarkEnd w:id="66"/>
            <w:r>
              <w:rPr>
                <w:rFonts w:hint="eastAsia" w:ascii="宋体" w:hAnsi="宋体"/>
                <w:bCs/>
                <w:color w:val="000000" w:themeColor="text1"/>
                <w:sz w:val="18"/>
                <w:szCs w:val="18"/>
                <w14:textFill>
                  <w14:solidFill>
                    <w14:schemeClr w14:val="tx1"/>
                  </w14:solidFill>
                </w14:textFill>
              </w:rPr>
              <w:t>】类份额）</w:t>
            </w:r>
          </w:p>
        </w:tc>
      </w:tr>
      <w:permEnd w:id="36"/>
      <w:permEnd w:id="37"/>
      <w:permEnd w:id="3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
                <w:bCs/>
                <w:sz w:val="18"/>
                <w:szCs w:val="18"/>
              </w:rPr>
            </w:pPr>
            <w:permStart w:id="39" w:edGrp="everyone" w:colFirst="0" w:colLast="0"/>
          </w:p>
        </w:tc>
      </w:tr>
      <w:permEnd w:id="3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permStart w:id="40" w:edGrp="everyone"/>
            <w:r>
              <w:rPr>
                <w:rFonts w:ascii="宋体" w:hAnsi="宋体"/>
                <w:szCs w:val="18"/>
                <w:u w:val="single"/>
              </w:rPr>
              <w:t xml:space="preserve">　                     </w:t>
            </w:r>
            <w:permEnd w:id="40"/>
            <w:r>
              <w:rPr>
                <w:rFonts w:hint="eastAsia" w:ascii="宋体" w:hAnsi="宋体"/>
                <w:szCs w:val="18"/>
              </w:rPr>
              <w:t>。</w:t>
            </w:r>
          </w:p>
        </w:tc>
      </w:tr>
    </w:tbl>
    <w:p>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67"/>
            <w:spacing w:line="360" w:lineRule="auto"/>
            <w:jc w:val="center"/>
          </w:pPr>
          <w:r>
            <w:rPr>
              <w:lang w:val="zh-CN"/>
            </w:rPr>
            <w:t>目录</w:t>
          </w:r>
        </w:p>
        <w:p>
          <w:pPr>
            <w:pStyle w:val="16"/>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pPr>
            <w:pStyle w:val="16"/>
            <w:tabs>
              <w:tab w:val="right" w:leader="dot" w:pos="8306"/>
              <w:tab w:val="clear" w:pos="8296"/>
            </w:tabs>
          </w:pPr>
          <w:r>
            <w:fldChar w:fldCharType="begin"/>
          </w:r>
          <w:r>
            <w:instrText xml:space="preserve"> HYPERLINK \l "_Toc12429" </w:instrText>
          </w:r>
          <w:r>
            <w:fldChar w:fldCharType="separate"/>
          </w:r>
          <w:r>
            <w:t>第</w:t>
          </w:r>
          <w:r>
            <w:rPr>
              <w:rFonts w:hint="eastAsia"/>
            </w:rPr>
            <w:t xml:space="preserve">二条 </w:t>
          </w:r>
          <w:r>
            <w:t xml:space="preserve"> </w:t>
          </w:r>
          <w:r>
            <w:rPr>
              <w:rFonts w:hint="eastAsia"/>
            </w:rPr>
            <w:t>双方</w:t>
          </w:r>
          <w:r>
            <w:t>权利义务</w:t>
          </w:r>
          <w:r>
            <w:tab/>
          </w:r>
          <w:r>
            <w:fldChar w:fldCharType="begin"/>
          </w:r>
          <w:r>
            <w:instrText xml:space="preserve"> PAGEREF _Toc12429 \h </w:instrText>
          </w:r>
          <w:r>
            <w:fldChar w:fldCharType="separate"/>
          </w:r>
          <w:r>
            <w:t>7</w:t>
          </w:r>
          <w:r>
            <w:fldChar w:fldCharType="end"/>
          </w:r>
          <w:r>
            <w:fldChar w:fldCharType="end"/>
          </w:r>
        </w:p>
        <w:p>
          <w:pPr>
            <w:pStyle w:val="16"/>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不可抗力</w:t>
          </w:r>
          <w:r>
            <w:tab/>
          </w:r>
          <w:r>
            <w:fldChar w:fldCharType="begin"/>
          </w:r>
          <w:r>
            <w:instrText xml:space="preserve"> PAGEREF _Toc706 \h </w:instrText>
          </w:r>
          <w:r>
            <w:fldChar w:fldCharType="separate"/>
          </w:r>
          <w:r>
            <w:t>10</w:t>
          </w:r>
          <w:r>
            <w:fldChar w:fldCharType="end"/>
          </w:r>
          <w:r>
            <w:fldChar w:fldCharType="end"/>
          </w:r>
        </w:p>
        <w:p>
          <w:pPr>
            <w:pStyle w:val="16"/>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pPr>
            <w:pStyle w:val="16"/>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法律适用和争议解决</w:t>
          </w:r>
          <w:r>
            <w:tab/>
          </w:r>
          <w:r>
            <w:fldChar w:fldCharType="begin"/>
          </w:r>
          <w:r>
            <w:instrText xml:space="preserve"> PAGEREF _Toc29618 \h </w:instrText>
          </w:r>
          <w:r>
            <w:fldChar w:fldCharType="separate"/>
          </w:r>
          <w:r>
            <w:t>12</w:t>
          </w:r>
          <w:r>
            <w:fldChar w:fldCharType="end"/>
          </w:r>
          <w:r>
            <w:fldChar w:fldCharType="end"/>
          </w:r>
        </w:p>
        <w:p>
          <w:pPr>
            <w:pStyle w:val="16"/>
            <w:tabs>
              <w:tab w:val="right" w:leader="dot" w:pos="8306"/>
              <w:tab w:val="clear" w:pos="8296"/>
            </w:tabs>
          </w:pPr>
          <w:r>
            <w:fldChar w:fldCharType="begin"/>
          </w:r>
          <w:r>
            <w:instrText xml:space="preserve"> HYPERLINK \l "_Toc11943" </w:instrText>
          </w:r>
          <w:r>
            <w:fldChar w:fldCharType="separate"/>
          </w:r>
          <w:r>
            <w:rPr>
              <w:rFonts w:hint="eastAsia"/>
            </w:rPr>
            <w:t xml:space="preserve">第六条 </w:t>
          </w:r>
          <w:r>
            <w:t xml:space="preserve"> 协议的签署和</w:t>
          </w:r>
          <w:r>
            <w:rPr>
              <w:rFonts w:hint="eastAsia"/>
            </w:rPr>
            <w:t>效力</w:t>
          </w:r>
          <w:r>
            <w:tab/>
          </w:r>
          <w:r>
            <w:fldChar w:fldCharType="begin"/>
          </w:r>
          <w:r>
            <w:instrText xml:space="preserve"> PAGEREF _Toc11943 \h </w:instrText>
          </w:r>
          <w:r>
            <w:fldChar w:fldCharType="separate"/>
          </w:r>
          <w:r>
            <w:t>13</w:t>
          </w:r>
          <w:r>
            <w:fldChar w:fldCharType="end"/>
          </w:r>
          <w:r>
            <w:fldChar w:fldCharType="end"/>
          </w:r>
        </w:p>
        <w:p>
          <w:pPr>
            <w:pStyle w:val="16"/>
            <w:tabs>
              <w:tab w:val="right" w:leader="dot" w:pos="8306"/>
              <w:tab w:val="clear" w:pos="8296"/>
            </w:tabs>
          </w:pPr>
          <w:r>
            <w:fldChar w:fldCharType="begin"/>
          </w:r>
          <w:r>
            <w:instrText xml:space="preserve"> HYPERLINK \l "_Toc29352" </w:instrText>
          </w:r>
          <w:r>
            <w:fldChar w:fldCharType="separate"/>
          </w:r>
          <w:r>
            <w:rPr>
              <w:rFonts w:hint="eastAsia"/>
            </w:rPr>
            <w:t xml:space="preserve">第七条 </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pPr>
            <w:spacing w:line="360" w:lineRule="auto"/>
          </w:pPr>
          <w:r>
            <w:rPr>
              <w:bCs/>
              <w:lang w:val="zh-CN"/>
            </w:rPr>
            <w:fldChar w:fldCharType="end"/>
          </w:r>
        </w:p>
      </w:sdtContent>
    </w:sdt>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pPr>
        <w:spacing w:line="360" w:lineRule="auto"/>
      </w:pPr>
    </w:p>
    <w:bookmarkEnd w:id="10"/>
    <w:bookmarkEnd w:id="11"/>
    <w:bookmarkEnd w:id="12"/>
    <w:bookmarkEnd w:id="13"/>
    <w:p>
      <w:pPr>
        <w:pStyle w:val="2"/>
        <w:spacing w:before="0" w:after="0"/>
        <w:jc w:val="center"/>
        <w:rPr>
          <w:rFonts w:ascii="Times New Roman"/>
          <w:color w:val="auto"/>
          <w:sz w:val="30"/>
        </w:rPr>
      </w:pPr>
      <w:bookmarkStart w:id="14" w:name="_Toc4966"/>
      <w:bookmarkStart w:id="15" w:name="_Toc29629"/>
      <w:bookmarkStart w:id="16" w:name="_Toc32639"/>
      <w:bookmarkStart w:id="17" w:name="_Toc23386"/>
      <w:bookmarkStart w:id="18" w:name="_Toc6306"/>
      <w:bookmarkStart w:id="19" w:name="_Toc123112229"/>
      <w:bookmarkStart w:id="20" w:name="_Toc30935"/>
      <w:bookmarkStart w:id="21" w:name="_Toc15517"/>
      <w:bookmarkStart w:id="22" w:name="_Toc141703880"/>
      <w:bookmarkStart w:id="23" w:name="_Toc139991730"/>
      <w:bookmarkStart w:id="24" w:name="_Toc8727"/>
      <w:bookmarkStart w:id="25" w:name="_Toc123701389"/>
      <w:bookmarkStart w:id="26" w:name="_Toc4867"/>
      <w:bookmarkStart w:id="27" w:name="_Toc123112268"/>
      <w:bookmarkStart w:id="28" w:name="_Toc26897"/>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258829399"/>
      <w:bookmarkStart w:id="33" w:name="_Toc6617"/>
      <w:bookmarkStart w:id="34" w:name="_Toc22864"/>
      <w:bookmarkStart w:id="35" w:name="_Toc21301"/>
      <w:bookmarkStart w:id="36" w:name="_Toc13020"/>
      <w:bookmarkStart w:id="37" w:name="_Toc15067"/>
      <w:bookmarkStart w:id="38" w:name="_Toc19592"/>
      <w:bookmarkStart w:id="39" w:name="_Toc24860"/>
      <w:bookmarkStart w:id="40" w:name="_Toc819"/>
      <w:bookmarkStart w:id="41" w:name="_Toc2465"/>
      <w:bookmarkStart w:id="42" w:name="_Toc3224"/>
      <w:r>
        <w:rPr>
          <w:rFonts w:hint="eastAsia" w:ascii="Times New Roman"/>
          <w:color w:val="auto"/>
          <w:sz w:val="30"/>
        </w:rPr>
        <w:t>前言</w:t>
      </w:r>
      <w:bookmarkEnd w:id="29"/>
    </w:p>
    <w:p>
      <w:pPr>
        <w:pStyle w:val="43"/>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.订立本投资协议书的目的是保护投资人合法权益，明确投资协议书当事人的权利义务，规范理财产品运作。</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号）、《商业银行理财业务监督管理办法》（银保监会令2018年第</w:t>
      </w:r>
      <w:r>
        <w:rPr>
          <w:rFonts w:ascii="宋体" w:hAnsi="宋体"/>
          <w:sz w:val="18"/>
          <w:szCs w:val="18"/>
        </w:rPr>
        <w:t>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（银保监会令2018年第7号）、《理财公司理财产品销售管理暂行办法》（银保监会令2021年第4号）等监管规定及其他有关规定。</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.订立本投资协议书的原则是平等自愿、诚实信用、充分保护投资人合法权益。</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pPr>
        <w:widowControl/>
        <w:spacing w:line="360" w:lineRule="auto"/>
        <w:jc w:val="left"/>
      </w:pPr>
      <w:r>
        <w:br w:type="page"/>
      </w:r>
    </w:p>
    <w:p>
      <w:pPr>
        <w:pStyle w:val="2"/>
        <w:spacing w:before="0" w:after="0"/>
        <w:jc w:val="center"/>
        <w:rPr>
          <w:rFonts w:ascii="Times New Roman"/>
          <w:color w:val="auto"/>
          <w:sz w:val="30"/>
        </w:rPr>
      </w:pPr>
      <w:bookmarkStart w:id="44" w:name="_Toc12429"/>
      <w:bookmarkStart w:id="45" w:name="_Toc74065739"/>
      <w:r>
        <w:rPr>
          <w:rFonts w:ascii="Times New Roman"/>
          <w:color w:val="auto"/>
          <w:sz w:val="30"/>
        </w:rPr>
        <w:t>第</w:t>
      </w:r>
      <w:r>
        <w:rPr>
          <w:rFonts w:hint="eastAsia" w:ascii="Times New Roman"/>
          <w:color w:val="auto"/>
          <w:sz w:val="30"/>
        </w:rPr>
        <w:t xml:space="preserve">二条 </w:t>
      </w:r>
      <w:r>
        <w:rPr>
          <w:rFonts w:ascii="Times New Roman"/>
          <w:color w:val="auto"/>
          <w:sz w:val="30"/>
        </w:rPr>
        <w:t xml:space="preserve"> </w:t>
      </w:r>
      <w:r>
        <w:rPr>
          <w:rFonts w:hint="eastAsia" w:ascii="Times New Roman"/>
          <w:color w:val="auto"/>
          <w:sz w:val="30"/>
        </w:rPr>
        <w:t>双方</w:t>
      </w:r>
      <w:r>
        <w:rPr>
          <w:rFonts w:ascii="Times New Roman"/>
          <w:color w:val="auto"/>
          <w:sz w:val="30"/>
        </w:rPr>
        <w:t>权利义务</w:t>
      </w:r>
      <w:bookmarkEnd w:id="44"/>
    </w:p>
    <w:p>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hint="eastAsia" w:ascii="宋体" w:hAnsi="宋体"/>
          <w:sz w:val="18"/>
          <w:szCs w:val="18"/>
        </w:rPr>
        <w:t>3.</w:t>
      </w:r>
      <w:r>
        <w:rPr>
          <w:rFonts w:ascii="宋体" w:hAnsi="宋体"/>
          <w:sz w:val="18"/>
          <w:szCs w:val="18"/>
        </w:rPr>
        <w:t>产品管理人应按照约定披露产品相关信息。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sz w:val="18"/>
          <w:szCs w:val="18"/>
        </w:rPr>
        <w:t>如因投资者未及时办理变更手续而造成产品管理人及</w:t>
      </w:r>
      <w:r>
        <w:rPr>
          <w:rFonts w:ascii="黑体" w:hAnsi="黑体" w:eastAsia="黑体"/>
          <w:sz w:val="18"/>
          <w:szCs w:val="18"/>
        </w:rPr>
        <w:t>/或</w:t>
      </w:r>
      <w:r>
        <w:rPr>
          <w:rFonts w:hint="eastAsia" w:ascii="黑体" w:hAnsi="黑体" w:eastAsia="黑体"/>
          <w:sz w:val="18"/>
          <w:szCs w:val="18"/>
        </w:rPr>
        <w:t>销售机构无法向投资者进行正常利益分配和资金清算分配</w:t>
      </w:r>
      <w:r>
        <w:rPr>
          <w:rFonts w:ascii="黑体" w:hAnsi="黑体" w:eastAsia="黑体"/>
          <w:sz w:val="18"/>
          <w:szCs w:val="18"/>
        </w:rPr>
        <w:t xml:space="preserve">, </w:t>
      </w:r>
      <w:r>
        <w:rPr>
          <w:rFonts w:hint="eastAsia" w:ascii="黑体" w:hAnsi="黑体" w:eastAsia="黑体"/>
          <w:sz w:val="18"/>
          <w:szCs w:val="18"/>
        </w:rPr>
        <w:t>由此导致投资者损失的由投资者自行承担</w:t>
      </w:r>
      <w:r>
        <w:rPr>
          <w:rFonts w:ascii="黑体" w:hAnsi="黑体" w:eastAsia="黑体"/>
          <w:sz w:val="18"/>
          <w:szCs w:val="18"/>
        </w:rPr>
        <w:t xml:space="preserve">, </w:t>
      </w:r>
      <w:r>
        <w:rPr>
          <w:rFonts w:hint="eastAsia" w:ascii="黑体" w:hAnsi="黑体" w:eastAsia="黑体"/>
          <w:sz w:val="18"/>
          <w:szCs w:val="18"/>
        </w:rPr>
        <w:t>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产品管理人或销售机构发现或有合理理由怀疑投资者或其资金存在洗钱、恐怖融资、逃税等嫌疑,</w:t>
      </w:r>
      <w:r>
        <w:rPr>
          <w:rFonts w:hint="eastAsia" w:ascii="黑体" w:hAnsi="黑体" w:eastAsia="黑体"/>
          <w:sz w:val="18"/>
          <w:szCs w:val="18"/>
        </w:rPr>
        <w:t>产品管理人有权提前终止本协议，造成投资者损失的，产品管理人不承担责任。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产品管理人有权根据符合条件的申请，受理并办理继承、承继、捐赠、司法强制执行和经理财产品登记机构认可的其他情况下的非交易过户。</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.其他在本产品所对应理财产品销售文件中约定的产品管理人的权利与义务。</w:t>
      </w:r>
    </w:p>
    <w:p>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pPr>
        <w:pStyle w:val="2"/>
        <w:spacing w:before="0" w:after="0"/>
        <w:jc w:val="center"/>
        <w:rPr>
          <w:rFonts w:ascii="Times New Roman"/>
          <w:sz w:val="30"/>
        </w:rPr>
      </w:pPr>
      <w:bookmarkStart w:id="46" w:name="_Toc706"/>
      <w:bookmarkStart w:id="47" w:name="_Toc20318"/>
      <w:bookmarkStart w:id="48" w:name="_Toc20627"/>
      <w:bookmarkStart w:id="49" w:name="_Toc6149"/>
      <w:bookmarkStart w:id="50" w:name="_Toc13288"/>
      <w:bookmarkStart w:id="51" w:name="_Toc18631"/>
      <w:bookmarkStart w:id="52" w:name="_Toc545"/>
      <w:bookmarkStart w:id="53" w:name="_Toc733"/>
      <w:bookmarkStart w:id="54" w:name="_Toc24571"/>
      <w:bookmarkStart w:id="55" w:name="_Toc6683"/>
      <w:bookmarkStart w:id="56" w:name="_Toc74065740"/>
      <w:bookmarkStart w:id="57" w:name="_Toc22708"/>
      <w:bookmarkStart w:id="58" w:name="_Toc233456272"/>
      <w:bookmarkStart w:id="59" w:name="_Toc258829400"/>
      <w:r>
        <w:rPr>
          <w:rFonts w:hint="eastAsia" w:ascii="Times New Roman"/>
          <w:color w:val="auto"/>
          <w:sz w:val="30"/>
        </w:rPr>
        <w:t>第三条</w:t>
      </w:r>
      <w:r>
        <w:rPr>
          <w:rFonts w:ascii="Times New Roman"/>
          <w:color w:val="auto"/>
          <w:sz w:val="30"/>
        </w:rPr>
        <w:t xml:space="preserve">  不可抗力</w:t>
      </w:r>
      <w:bookmarkEnd w:id="46"/>
    </w:p>
    <w:bookmarkEnd w:id="47"/>
    <w:bookmarkEnd w:id="48"/>
    <w:bookmarkEnd w:id="49"/>
    <w:bookmarkEnd w:id="50"/>
    <w:bookmarkEnd w:id="51"/>
    <w:bookmarkEnd w:id="52"/>
    <w:bookmarkEnd w:id="53"/>
    <w:bookmarkEnd w:id="54"/>
    <w:bookmarkEnd w:id="55"/>
    <w:bookmarkEnd w:id="56"/>
    <w:bookmarkEnd w:id="57"/>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法律适用和争议解决</w:t>
      </w:r>
      <w:bookmarkEnd w:id="61"/>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pPr>
        <w:pStyle w:val="2"/>
        <w:spacing w:before="0" w:after="0"/>
        <w:jc w:val="center"/>
        <w:rPr>
          <w:rFonts w:ascii="Times New Roman"/>
          <w:b w:val="0"/>
          <w:sz w:val="30"/>
        </w:rPr>
      </w:pPr>
      <w:bookmarkStart w:id="62" w:name="_Toc11943"/>
      <w:r>
        <w:rPr>
          <w:rFonts w:hint="eastAsia" w:ascii="Times New Roman"/>
          <w:color w:val="auto"/>
          <w:sz w:val="30"/>
        </w:rPr>
        <w:t xml:space="preserve">第六条 </w:t>
      </w:r>
      <w:r>
        <w:rPr>
          <w:rFonts w:ascii="Times New Roman"/>
          <w:color w:val="auto"/>
          <w:sz w:val="30"/>
        </w:rPr>
        <w:t xml:space="preserve"> 协议的签署和</w:t>
      </w:r>
      <w:r>
        <w:rPr>
          <w:rFonts w:hint="eastAsia" w:ascii="Times New Roman"/>
          <w:color w:val="auto"/>
          <w:sz w:val="30"/>
        </w:rPr>
        <w:t>效力</w:t>
      </w:r>
      <w:bookmarkEnd w:id="62"/>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，本协议自投资者签名</w:t>
      </w:r>
      <w:r>
        <w:rPr>
          <w:rFonts w:ascii="黑体" w:hAnsi="黑体" w:eastAsia="黑体"/>
          <w:sz w:val="18"/>
          <w:szCs w:val="18"/>
        </w:rPr>
        <w:t>/盖章后则为签署。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3" w:name="_Toc77953869"/>
      <w:bookmarkStart w:id="64" w:name="_Toc29352"/>
      <w:r>
        <w:rPr>
          <w:rFonts w:hint="eastAsia" w:ascii="Times New Roman"/>
          <w:color w:val="auto"/>
          <w:sz w:val="30"/>
        </w:rPr>
        <w:t xml:space="preserve">第七条 </w:t>
      </w:r>
      <w:r>
        <w:rPr>
          <w:rFonts w:ascii="Times New Roman"/>
          <w:color w:val="auto"/>
          <w:sz w:val="30"/>
        </w:rPr>
        <w:t xml:space="preserve"> </w:t>
      </w:r>
      <w:r>
        <w:rPr>
          <w:rFonts w:hint="eastAsia" w:ascii="Times New Roman"/>
          <w:color w:val="auto"/>
          <w:sz w:val="30"/>
        </w:rPr>
        <w:t>消费者权益保护</w:t>
      </w:r>
      <w:bookmarkEnd w:id="63"/>
      <w:bookmarkEnd w:id="64"/>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hint="eastAsia" w:ascii="黑体" w:hAnsi="黑体" w:eastAsia="黑体"/>
          <w:sz w:val="18"/>
          <w:szCs w:val="18"/>
        </w:rPr>
        <w:t>1.产品管理人：兴银理财有限责任公司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2.销售机构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销售机构的联络方式，具体以《（代理）销售协议书》《投资者权益须知》等销售文件的内容为准。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25"/>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permStart w:id="41" w:edGrp="everyone"/>
            <w:r>
              <w:rPr>
                <w:rFonts w:hint="eastAsia" w:ascii="宋体" w:hAnsi="宋体" w:cs="宋体"/>
                <w:sz w:val="18"/>
                <w:szCs w:val="18"/>
              </w:rPr>
              <w:t>【】</w:t>
            </w:r>
            <w:permEnd w:id="41"/>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permStart w:id="42" w:edGrp="everyone"/>
            <w:r>
              <w:rPr>
                <w:rFonts w:hint="eastAsia" w:ascii="宋体" w:hAnsi="宋体" w:cs="宋体"/>
                <w:sz w:val="18"/>
                <w:szCs w:val="18"/>
              </w:rPr>
              <w:t>【】类</w:t>
            </w:r>
            <w:r>
              <w:rPr>
                <w:rFonts w:ascii="宋体" w:hAnsi="宋体" w:cs="宋体"/>
                <w:sz w:val="18"/>
                <w:szCs w:val="18"/>
              </w:rPr>
              <w:t>份额</w:t>
            </w:r>
            <w:permEnd w:id="42"/>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permStart w:id="43" w:edGrp="everyone" w:colFirst="2" w:colLast="2"/>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u w:val="single"/>
              </w:rPr>
              <w:t xml:space="preserve">      </w:t>
            </w:r>
            <w:r>
              <w:rPr>
                <w:rFonts w:hint="eastAsia" w:ascii="宋体" w:hAnsi="宋体"/>
                <w:bCs/>
                <w:sz w:val="18"/>
                <w:szCs w:val="18"/>
              </w:rPr>
              <w:t>元整。</w:t>
            </w:r>
          </w:p>
        </w:tc>
      </w:tr>
      <w:permEnd w:id="4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44"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u w:val="single"/>
              </w:rPr>
              <w:t xml:space="preserve">     </w:t>
            </w:r>
            <w:r>
              <w:rPr>
                <w:rFonts w:hint="eastAsia" w:ascii="宋体" w:hAnsi="宋体"/>
                <w:bCs/>
                <w:sz w:val="18"/>
                <w:szCs w:val="18"/>
              </w:rPr>
              <w:t>元整。</w:t>
            </w:r>
          </w:p>
        </w:tc>
      </w:tr>
      <w:permEnd w:id="4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45"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pPr>
              <w:autoSpaceDE w:val="0"/>
              <w:autoSpaceDN w:val="0"/>
              <w:adjustRightInd w:val="0"/>
              <w:snapToGrid w:val="0"/>
              <w:spacing w:line="360" w:lineRule="auto"/>
              <w:rPr>
                <w:rFonts w:ascii="宋体" w:hAnsi="宋体"/>
                <w:bCs/>
                <w:sz w:val="18"/>
                <w:szCs w:val="18"/>
              </w:rPr>
            </w:pPr>
            <w:r>
              <w:rPr>
                <w:rFonts w:ascii="宋体" w:hAnsi="宋体"/>
                <w:bCs/>
                <w:sz w:val="18"/>
                <w:szCs w:val="18"/>
              </w:rPr>
              <w:t>份额：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u w:val="single"/>
              </w:rPr>
              <w:t xml:space="preserve">        </w:t>
            </w:r>
            <w:r>
              <w:rPr>
                <w:rFonts w:hint="eastAsia" w:ascii="宋体" w:hAnsi="宋体"/>
                <w:bCs/>
                <w:sz w:val="18"/>
                <w:szCs w:val="18"/>
              </w:rPr>
              <w:t>份。</w:t>
            </w:r>
          </w:p>
        </w:tc>
      </w:tr>
      <w:permEnd w:id="4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sz w:val="18"/>
                <w:szCs w:val="18"/>
              </w:rPr>
            </w:pPr>
            <w:permStart w:id="46" w:edGrp="everyone"/>
            <w:r>
              <w:rPr>
                <w:rFonts w:hint="eastAsia" w:asciiTheme="minorEastAsia" w:hAnsiTheme="minorEastAsia"/>
                <w:sz w:val="18"/>
                <w:szCs w:val="18"/>
              </w:rPr>
              <w:t xml:space="preserve">【 </w:t>
            </w:r>
            <w:r>
              <w:rPr>
                <w:rFonts w:asciiTheme="minorEastAsia" w:hAnsiTheme="minorEastAsia"/>
                <w:sz w:val="18"/>
                <w:szCs w:val="18"/>
              </w:rPr>
              <w:t>】年</w:t>
            </w:r>
            <w:r>
              <w:rPr>
                <w:rFonts w:hint="eastAsia" w:asciiTheme="minorEastAsia" w:hAnsiTheme="minorEastAsia"/>
                <w:sz w:val="18"/>
                <w:szCs w:val="18"/>
              </w:rPr>
              <w:t>【 】月【 】日</w:t>
            </w:r>
            <w:permEnd w:id="4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w:t>
            </w:r>
            <w:r>
              <w:rPr>
                <w:rFonts w:ascii="黑体" w:hAnsi="黑体" w:eastAsia="黑体"/>
                <w:sz w:val="18"/>
                <w:szCs w:val="18"/>
              </w:rPr>
              <w:t>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w:t>
            </w:r>
            <w:r>
              <w:rPr>
                <w:rFonts w:ascii="黑体" w:hAnsi="黑体" w:eastAsia="黑体"/>
                <w:sz w:val="18"/>
                <w:szCs w:val="18"/>
              </w:rPr>
              <w:t>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sz w:val="18"/>
                <w:szCs w:val="18"/>
              </w:rPr>
            </w:pPr>
            <w:r>
              <w:rPr>
                <w:rFonts w:hint="eastAsia"/>
                <w:sz w:val="18"/>
                <w:szCs w:val="18"/>
              </w:rPr>
              <w:t>个人投资者适用</w:t>
            </w:r>
          </w:p>
        </w:tc>
        <w:tc>
          <w:tcPr>
            <w:tcW w:w="6998" w:type="dxa"/>
            <w:gridSpan w:val="2"/>
          </w:tcPr>
          <w:p>
            <w:pPr>
              <w:spacing w:line="360" w:lineRule="auto"/>
              <w:rPr>
                <w:sz w:val="18"/>
                <w:szCs w:val="18"/>
              </w:rPr>
            </w:pPr>
            <w:r>
              <w:rPr>
                <w:rFonts w:hint="eastAsia"/>
                <w:sz w:val="18"/>
                <w:szCs w:val="18"/>
              </w:rPr>
              <w:t>投资者（签名/线上确认）：</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pPr>
              <w:spacing w:line="360" w:lineRule="auto"/>
              <w:rPr>
                <w:b/>
                <w:sz w:val="18"/>
                <w:szCs w:val="18"/>
              </w:rPr>
            </w:pPr>
          </w:p>
        </w:tc>
        <w:tc>
          <w:tcPr>
            <w:tcW w:w="851" w:type="dxa"/>
            <w:gridSpan w:val="2"/>
          </w:tcPr>
          <w:p>
            <w:pPr>
              <w:spacing w:line="360" w:lineRule="auto"/>
              <w:rPr>
                <w:sz w:val="18"/>
                <w:szCs w:val="18"/>
              </w:rPr>
            </w:pPr>
            <w:r>
              <w:rPr>
                <w:rFonts w:hint="eastAsia"/>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r>
              <w:rPr>
                <w:rFonts w:cs="Arial"/>
                <w:sz w:val="18"/>
                <w:szCs w:val="18"/>
              </w:rPr>
              <w:t>/</w:t>
            </w:r>
            <w:r>
              <w:rPr>
                <w:rFonts w:hint="eastAsia"/>
                <w:sz w:val="18"/>
                <w:szCs w:val="18"/>
              </w:rPr>
              <w:t>线上确认</w:t>
            </w:r>
            <w:r>
              <w:rPr>
                <w:rFonts w:hint="eastAsia" w:cs="Arial"/>
                <w:sz w:val="18"/>
                <w:szCs w:val="18"/>
              </w:rPr>
              <w:t>）：</w:t>
            </w:r>
          </w:p>
          <w:p>
            <w:pPr>
              <w:spacing w:line="360" w:lineRule="auto"/>
              <w:rPr>
                <w:rFonts w:cs="Arial"/>
                <w:sz w:val="18"/>
                <w:szCs w:val="18"/>
              </w:rPr>
            </w:pPr>
          </w:p>
          <w:p>
            <w:pPr>
              <w:spacing w:line="360" w:lineRule="auto"/>
              <w:rPr>
                <w:b/>
                <w:sz w:val="18"/>
                <w:szCs w:val="18"/>
              </w:rPr>
            </w:pPr>
            <w:r>
              <w:rPr>
                <w:rFonts w:hint="eastAsia" w:cs="Arial"/>
                <w:sz w:val="18"/>
                <w:szCs w:val="18"/>
              </w:rPr>
              <w:t>投资者法定代表人或授权代理人（签名/盖章</w:t>
            </w:r>
            <w:r>
              <w:rPr>
                <w:rFonts w:cs="Arial"/>
                <w:sz w:val="18"/>
                <w:szCs w:val="18"/>
              </w:rPr>
              <w:t>/</w:t>
            </w:r>
            <w:r>
              <w:rPr>
                <w:rFonts w:hint="eastAsia"/>
                <w:sz w:val="18"/>
                <w:szCs w:val="18"/>
              </w:rPr>
              <w:t>线上确认</w:t>
            </w:r>
            <w:r>
              <w:rPr>
                <w:rFonts w:hint="eastAsia" w:cs="Arial"/>
                <w:sz w:val="18"/>
                <w:szCs w:val="18"/>
              </w:rPr>
              <w:t>）：</w:t>
            </w:r>
          </w:p>
          <w:p>
            <w:pPr>
              <w:spacing w:line="360" w:lineRule="auto"/>
              <w:rPr>
                <w:sz w:val="18"/>
                <w:szCs w:val="18"/>
              </w:rPr>
            </w:pPr>
            <w:r>
              <w:rPr>
                <w:rFonts w:hint="eastAsia"/>
                <w:sz w:val="18"/>
                <w:szCs w:val="18"/>
              </w:rPr>
              <w:t>日期：</w:t>
            </w:r>
          </w:p>
        </w:tc>
      </w:tr>
    </w:tbl>
    <w:p>
      <w:pPr>
        <w:spacing w:line="360" w:lineRule="auto"/>
        <w:jc w:val="left"/>
        <w:rPr>
          <w:bCs/>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15</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b/>
      </w:rPr>
    </w:pPr>
    <w:r>
      <w:rPr>
        <w:rFonts w:hint="eastAsia"/>
        <w:b/>
      </w:rPr>
      <w:t>投资协议书</w:t>
    </w:r>
  </w:p>
  <w:p>
    <w:pPr>
      <w:pStyle w:val="15"/>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bullet"/>
      <w:pStyle w:val="47"/>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AES" w:cryptAlgorithmClass="hash" w:cryptAlgorithmType="typeAny" w:cryptAlgorithmSid="14" w:cryptSpinCount="100000" w:hash="mqYxGkcUqM0tesm6y4fMXDW9NaWNc7G22kPhWr36jNYbXoyifyDol3bpXuraM89eFIraKttbcQuxx40cOGHwEw==" w:salt="l1LPRadWZPfOS7YtusHLOw=="/>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172A27"/>
    <w:rsid w:val="000016A1"/>
    <w:rsid w:val="00001E2E"/>
    <w:rsid w:val="000047F2"/>
    <w:rsid w:val="000052BD"/>
    <w:rsid w:val="00006526"/>
    <w:rsid w:val="000073F3"/>
    <w:rsid w:val="0001389C"/>
    <w:rsid w:val="000141A7"/>
    <w:rsid w:val="000209B7"/>
    <w:rsid w:val="00021451"/>
    <w:rsid w:val="000215C7"/>
    <w:rsid w:val="00021BF7"/>
    <w:rsid w:val="00023F0A"/>
    <w:rsid w:val="0002724F"/>
    <w:rsid w:val="00030239"/>
    <w:rsid w:val="0003198D"/>
    <w:rsid w:val="000345D6"/>
    <w:rsid w:val="000365A1"/>
    <w:rsid w:val="00040447"/>
    <w:rsid w:val="0004166F"/>
    <w:rsid w:val="00042221"/>
    <w:rsid w:val="00042E95"/>
    <w:rsid w:val="00045C60"/>
    <w:rsid w:val="00045FF7"/>
    <w:rsid w:val="00055256"/>
    <w:rsid w:val="00055E1D"/>
    <w:rsid w:val="00060AA2"/>
    <w:rsid w:val="0006286C"/>
    <w:rsid w:val="00063E11"/>
    <w:rsid w:val="00065143"/>
    <w:rsid w:val="00067E29"/>
    <w:rsid w:val="00077B06"/>
    <w:rsid w:val="00081682"/>
    <w:rsid w:val="0008289A"/>
    <w:rsid w:val="00083216"/>
    <w:rsid w:val="00083712"/>
    <w:rsid w:val="00096B82"/>
    <w:rsid w:val="00097F9C"/>
    <w:rsid w:val="000A21B2"/>
    <w:rsid w:val="000A29E4"/>
    <w:rsid w:val="000B0F5E"/>
    <w:rsid w:val="000B1095"/>
    <w:rsid w:val="000B687C"/>
    <w:rsid w:val="000B732C"/>
    <w:rsid w:val="000C2157"/>
    <w:rsid w:val="000C23C6"/>
    <w:rsid w:val="000C5F0B"/>
    <w:rsid w:val="000C66F8"/>
    <w:rsid w:val="000C6CA3"/>
    <w:rsid w:val="000D7C5B"/>
    <w:rsid w:val="000E4739"/>
    <w:rsid w:val="000F16C0"/>
    <w:rsid w:val="000F18A0"/>
    <w:rsid w:val="000F4555"/>
    <w:rsid w:val="000F4EBB"/>
    <w:rsid w:val="000F7F68"/>
    <w:rsid w:val="0010450A"/>
    <w:rsid w:val="00105DB2"/>
    <w:rsid w:val="00106DE4"/>
    <w:rsid w:val="001075D6"/>
    <w:rsid w:val="00111396"/>
    <w:rsid w:val="00112F70"/>
    <w:rsid w:val="00113191"/>
    <w:rsid w:val="0011395B"/>
    <w:rsid w:val="00116696"/>
    <w:rsid w:val="001249B1"/>
    <w:rsid w:val="00124ADF"/>
    <w:rsid w:val="001256B2"/>
    <w:rsid w:val="00125A39"/>
    <w:rsid w:val="00134616"/>
    <w:rsid w:val="00136F50"/>
    <w:rsid w:val="00141469"/>
    <w:rsid w:val="00150F88"/>
    <w:rsid w:val="00151C5F"/>
    <w:rsid w:val="00153821"/>
    <w:rsid w:val="00153A6A"/>
    <w:rsid w:val="0015605F"/>
    <w:rsid w:val="00156B9B"/>
    <w:rsid w:val="001676C5"/>
    <w:rsid w:val="00172A27"/>
    <w:rsid w:val="001739F3"/>
    <w:rsid w:val="00176250"/>
    <w:rsid w:val="001767D5"/>
    <w:rsid w:val="00181F8E"/>
    <w:rsid w:val="00183919"/>
    <w:rsid w:val="00184F16"/>
    <w:rsid w:val="001913D5"/>
    <w:rsid w:val="001A0DEE"/>
    <w:rsid w:val="001A331C"/>
    <w:rsid w:val="001A3B4F"/>
    <w:rsid w:val="001A68DB"/>
    <w:rsid w:val="001B3D1B"/>
    <w:rsid w:val="001B4F62"/>
    <w:rsid w:val="001B5A74"/>
    <w:rsid w:val="001C2E83"/>
    <w:rsid w:val="001C5549"/>
    <w:rsid w:val="001C5FB8"/>
    <w:rsid w:val="001C627B"/>
    <w:rsid w:val="001C6A43"/>
    <w:rsid w:val="001D33CF"/>
    <w:rsid w:val="001D5339"/>
    <w:rsid w:val="001D6D21"/>
    <w:rsid w:val="001E0B5B"/>
    <w:rsid w:val="001E22BC"/>
    <w:rsid w:val="001E4956"/>
    <w:rsid w:val="001E604C"/>
    <w:rsid w:val="001F0C20"/>
    <w:rsid w:val="001F213C"/>
    <w:rsid w:val="001F3442"/>
    <w:rsid w:val="001F3518"/>
    <w:rsid w:val="001F5553"/>
    <w:rsid w:val="001F5D35"/>
    <w:rsid w:val="001F764C"/>
    <w:rsid w:val="00202706"/>
    <w:rsid w:val="00204226"/>
    <w:rsid w:val="00204B97"/>
    <w:rsid w:val="00206557"/>
    <w:rsid w:val="0020785E"/>
    <w:rsid w:val="002115EE"/>
    <w:rsid w:val="00211B89"/>
    <w:rsid w:val="00213777"/>
    <w:rsid w:val="0021550E"/>
    <w:rsid w:val="0021697D"/>
    <w:rsid w:val="0022040D"/>
    <w:rsid w:val="0022092C"/>
    <w:rsid w:val="00222AF4"/>
    <w:rsid w:val="00225324"/>
    <w:rsid w:val="00225C55"/>
    <w:rsid w:val="00226166"/>
    <w:rsid w:val="00227D78"/>
    <w:rsid w:val="0023600D"/>
    <w:rsid w:val="00241D65"/>
    <w:rsid w:val="00244658"/>
    <w:rsid w:val="002464CF"/>
    <w:rsid w:val="002476E6"/>
    <w:rsid w:val="00252AD2"/>
    <w:rsid w:val="00253D3F"/>
    <w:rsid w:val="002544CB"/>
    <w:rsid w:val="00256159"/>
    <w:rsid w:val="0025790A"/>
    <w:rsid w:val="00257D80"/>
    <w:rsid w:val="002632C7"/>
    <w:rsid w:val="00263D71"/>
    <w:rsid w:val="00267780"/>
    <w:rsid w:val="002719C4"/>
    <w:rsid w:val="00276547"/>
    <w:rsid w:val="002819AA"/>
    <w:rsid w:val="00284C82"/>
    <w:rsid w:val="00287678"/>
    <w:rsid w:val="00287D6F"/>
    <w:rsid w:val="00293352"/>
    <w:rsid w:val="00294417"/>
    <w:rsid w:val="002944D4"/>
    <w:rsid w:val="0029567E"/>
    <w:rsid w:val="002A31A8"/>
    <w:rsid w:val="002A571E"/>
    <w:rsid w:val="002A599B"/>
    <w:rsid w:val="002A72B3"/>
    <w:rsid w:val="002B2076"/>
    <w:rsid w:val="002B2E59"/>
    <w:rsid w:val="002B30E7"/>
    <w:rsid w:val="002B3344"/>
    <w:rsid w:val="002B3DF5"/>
    <w:rsid w:val="002B503B"/>
    <w:rsid w:val="002B659B"/>
    <w:rsid w:val="002B661B"/>
    <w:rsid w:val="002C13C1"/>
    <w:rsid w:val="002C27E7"/>
    <w:rsid w:val="002C3012"/>
    <w:rsid w:val="002C7D8E"/>
    <w:rsid w:val="002D0C9D"/>
    <w:rsid w:val="002D121A"/>
    <w:rsid w:val="002D407E"/>
    <w:rsid w:val="002E0226"/>
    <w:rsid w:val="002E2C93"/>
    <w:rsid w:val="002E388A"/>
    <w:rsid w:val="002E5174"/>
    <w:rsid w:val="002E6E2C"/>
    <w:rsid w:val="002F1BB8"/>
    <w:rsid w:val="002F1C19"/>
    <w:rsid w:val="002F228E"/>
    <w:rsid w:val="002F3164"/>
    <w:rsid w:val="002F467D"/>
    <w:rsid w:val="002F5D80"/>
    <w:rsid w:val="002F6D00"/>
    <w:rsid w:val="002F7889"/>
    <w:rsid w:val="003018A8"/>
    <w:rsid w:val="003052A7"/>
    <w:rsid w:val="00306441"/>
    <w:rsid w:val="00317875"/>
    <w:rsid w:val="003178C0"/>
    <w:rsid w:val="003227BA"/>
    <w:rsid w:val="003255D5"/>
    <w:rsid w:val="003307C6"/>
    <w:rsid w:val="00330ABB"/>
    <w:rsid w:val="003311F2"/>
    <w:rsid w:val="00331829"/>
    <w:rsid w:val="0033253B"/>
    <w:rsid w:val="00332928"/>
    <w:rsid w:val="003331E2"/>
    <w:rsid w:val="003408BE"/>
    <w:rsid w:val="003418D3"/>
    <w:rsid w:val="00344E98"/>
    <w:rsid w:val="0034626E"/>
    <w:rsid w:val="0034787C"/>
    <w:rsid w:val="00350783"/>
    <w:rsid w:val="003513BE"/>
    <w:rsid w:val="003523CE"/>
    <w:rsid w:val="0035402A"/>
    <w:rsid w:val="003540B3"/>
    <w:rsid w:val="003606ED"/>
    <w:rsid w:val="00360EE3"/>
    <w:rsid w:val="00363B81"/>
    <w:rsid w:val="00363C20"/>
    <w:rsid w:val="00365749"/>
    <w:rsid w:val="00366930"/>
    <w:rsid w:val="00367846"/>
    <w:rsid w:val="0037284F"/>
    <w:rsid w:val="00373584"/>
    <w:rsid w:val="00376B22"/>
    <w:rsid w:val="003873DE"/>
    <w:rsid w:val="0039060B"/>
    <w:rsid w:val="0039164E"/>
    <w:rsid w:val="00391C13"/>
    <w:rsid w:val="003928B0"/>
    <w:rsid w:val="00395E69"/>
    <w:rsid w:val="0039705F"/>
    <w:rsid w:val="003A2822"/>
    <w:rsid w:val="003B03E1"/>
    <w:rsid w:val="003B465C"/>
    <w:rsid w:val="003B63C9"/>
    <w:rsid w:val="003C216F"/>
    <w:rsid w:val="003C5027"/>
    <w:rsid w:val="003C65EC"/>
    <w:rsid w:val="003D3AA5"/>
    <w:rsid w:val="003D67E3"/>
    <w:rsid w:val="003E05EA"/>
    <w:rsid w:val="003E70F6"/>
    <w:rsid w:val="003E7472"/>
    <w:rsid w:val="003F1181"/>
    <w:rsid w:val="003F29F2"/>
    <w:rsid w:val="003F63CA"/>
    <w:rsid w:val="0040416E"/>
    <w:rsid w:val="0040486B"/>
    <w:rsid w:val="00404F49"/>
    <w:rsid w:val="004067A7"/>
    <w:rsid w:val="00406971"/>
    <w:rsid w:val="004117AA"/>
    <w:rsid w:val="004132EA"/>
    <w:rsid w:val="004134A1"/>
    <w:rsid w:val="00414562"/>
    <w:rsid w:val="0042301D"/>
    <w:rsid w:val="00423612"/>
    <w:rsid w:val="00424866"/>
    <w:rsid w:val="00426FD8"/>
    <w:rsid w:val="00431E1F"/>
    <w:rsid w:val="00435E5C"/>
    <w:rsid w:val="00436CF2"/>
    <w:rsid w:val="00437361"/>
    <w:rsid w:val="00444664"/>
    <w:rsid w:val="00444AD5"/>
    <w:rsid w:val="00444D89"/>
    <w:rsid w:val="00445CFA"/>
    <w:rsid w:val="00446FBB"/>
    <w:rsid w:val="0045304A"/>
    <w:rsid w:val="004530E2"/>
    <w:rsid w:val="0045487E"/>
    <w:rsid w:val="0045508F"/>
    <w:rsid w:val="00460B00"/>
    <w:rsid w:val="00467615"/>
    <w:rsid w:val="004727C4"/>
    <w:rsid w:val="00477E43"/>
    <w:rsid w:val="00481A9B"/>
    <w:rsid w:val="00483EB5"/>
    <w:rsid w:val="004840AC"/>
    <w:rsid w:val="004875C3"/>
    <w:rsid w:val="004918BC"/>
    <w:rsid w:val="00493B96"/>
    <w:rsid w:val="004946EF"/>
    <w:rsid w:val="004973D1"/>
    <w:rsid w:val="004A23D9"/>
    <w:rsid w:val="004A3FA4"/>
    <w:rsid w:val="004A5131"/>
    <w:rsid w:val="004A7454"/>
    <w:rsid w:val="004B03B2"/>
    <w:rsid w:val="004B3210"/>
    <w:rsid w:val="004B3302"/>
    <w:rsid w:val="004B3AF7"/>
    <w:rsid w:val="004B4475"/>
    <w:rsid w:val="004B6C04"/>
    <w:rsid w:val="004C1C32"/>
    <w:rsid w:val="004C23FF"/>
    <w:rsid w:val="004C2E33"/>
    <w:rsid w:val="004C39B2"/>
    <w:rsid w:val="004C3F33"/>
    <w:rsid w:val="004C5C67"/>
    <w:rsid w:val="004E08AE"/>
    <w:rsid w:val="004E3E74"/>
    <w:rsid w:val="004E4588"/>
    <w:rsid w:val="004E61D4"/>
    <w:rsid w:val="004E7FE1"/>
    <w:rsid w:val="004F196B"/>
    <w:rsid w:val="004F546F"/>
    <w:rsid w:val="005000A0"/>
    <w:rsid w:val="005008ED"/>
    <w:rsid w:val="005040A2"/>
    <w:rsid w:val="0051091B"/>
    <w:rsid w:val="00511C5B"/>
    <w:rsid w:val="0051407C"/>
    <w:rsid w:val="00514FAF"/>
    <w:rsid w:val="005174A6"/>
    <w:rsid w:val="00517BD7"/>
    <w:rsid w:val="00520C18"/>
    <w:rsid w:val="00521D76"/>
    <w:rsid w:val="00522DE6"/>
    <w:rsid w:val="005242BD"/>
    <w:rsid w:val="00525E37"/>
    <w:rsid w:val="005325A6"/>
    <w:rsid w:val="00540535"/>
    <w:rsid w:val="00540FCA"/>
    <w:rsid w:val="00542E69"/>
    <w:rsid w:val="005433B6"/>
    <w:rsid w:val="005438DD"/>
    <w:rsid w:val="00547A26"/>
    <w:rsid w:val="00557162"/>
    <w:rsid w:val="0055782A"/>
    <w:rsid w:val="0056024C"/>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5AD"/>
    <w:rsid w:val="005C169E"/>
    <w:rsid w:val="005D1511"/>
    <w:rsid w:val="005D17E1"/>
    <w:rsid w:val="005D68E6"/>
    <w:rsid w:val="005D6DFD"/>
    <w:rsid w:val="005E03C1"/>
    <w:rsid w:val="005E2C29"/>
    <w:rsid w:val="005E3D99"/>
    <w:rsid w:val="005E7D8A"/>
    <w:rsid w:val="006001EC"/>
    <w:rsid w:val="00605764"/>
    <w:rsid w:val="00605F23"/>
    <w:rsid w:val="00607C62"/>
    <w:rsid w:val="00613250"/>
    <w:rsid w:val="006206A4"/>
    <w:rsid w:val="0062210C"/>
    <w:rsid w:val="00623E9F"/>
    <w:rsid w:val="006250B0"/>
    <w:rsid w:val="00625409"/>
    <w:rsid w:val="00630C25"/>
    <w:rsid w:val="00630E80"/>
    <w:rsid w:val="006335F7"/>
    <w:rsid w:val="00640E2B"/>
    <w:rsid w:val="006445E5"/>
    <w:rsid w:val="00644D2A"/>
    <w:rsid w:val="00646391"/>
    <w:rsid w:val="00647D06"/>
    <w:rsid w:val="00650549"/>
    <w:rsid w:val="00652745"/>
    <w:rsid w:val="006529C3"/>
    <w:rsid w:val="00652B32"/>
    <w:rsid w:val="006542C9"/>
    <w:rsid w:val="00654B5E"/>
    <w:rsid w:val="00661F3C"/>
    <w:rsid w:val="00662F50"/>
    <w:rsid w:val="00663F53"/>
    <w:rsid w:val="00664946"/>
    <w:rsid w:val="00665990"/>
    <w:rsid w:val="00666D7F"/>
    <w:rsid w:val="00672298"/>
    <w:rsid w:val="00681CD2"/>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6758"/>
    <w:rsid w:val="006B7502"/>
    <w:rsid w:val="006C1201"/>
    <w:rsid w:val="006C14BB"/>
    <w:rsid w:val="006C1FF4"/>
    <w:rsid w:val="006C7443"/>
    <w:rsid w:val="006D1109"/>
    <w:rsid w:val="006D42F6"/>
    <w:rsid w:val="006D4A61"/>
    <w:rsid w:val="006D596D"/>
    <w:rsid w:val="006D6CDD"/>
    <w:rsid w:val="006D7EB4"/>
    <w:rsid w:val="006E07CD"/>
    <w:rsid w:val="006E4978"/>
    <w:rsid w:val="006F08E6"/>
    <w:rsid w:val="006F0FA1"/>
    <w:rsid w:val="006F1407"/>
    <w:rsid w:val="006F159D"/>
    <w:rsid w:val="006F3061"/>
    <w:rsid w:val="006F4C91"/>
    <w:rsid w:val="006F6966"/>
    <w:rsid w:val="006F6C9E"/>
    <w:rsid w:val="007003CA"/>
    <w:rsid w:val="00705A9A"/>
    <w:rsid w:val="00705AB8"/>
    <w:rsid w:val="00716497"/>
    <w:rsid w:val="00720B3A"/>
    <w:rsid w:val="007216E0"/>
    <w:rsid w:val="007219F7"/>
    <w:rsid w:val="00726D7A"/>
    <w:rsid w:val="00731391"/>
    <w:rsid w:val="00731CC4"/>
    <w:rsid w:val="00737544"/>
    <w:rsid w:val="00737E91"/>
    <w:rsid w:val="00741156"/>
    <w:rsid w:val="0074401B"/>
    <w:rsid w:val="00744F5D"/>
    <w:rsid w:val="007512CC"/>
    <w:rsid w:val="007567D7"/>
    <w:rsid w:val="00757C87"/>
    <w:rsid w:val="0076256C"/>
    <w:rsid w:val="007628E5"/>
    <w:rsid w:val="00764FE5"/>
    <w:rsid w:val="0076672F"/>
    <w:rsid w:val="00770687"/>
    <w:rsid w:val="00773717"/>
    <w:rsid w:val="00784D9C"/>
    <w:rsid w:val="007856E8"/>
    <w:rsid w:val="00785730"/>
    <w:rsid w:val="00786BEA"/>
    <w:rsid w:val="00786E6B"/>
    <w:rsid w:val="007874E0"/>
    <w:rsid w:val="0079433D"/>
    <w:rsid w:val="00795FAD"/>
    <w:rsid w:val="007968E5"/>
    <w:rsid w:val="007969C4"/>
    <w:rsid w:val="00796FFC"/>
    <w:rsid w:val="00797682"/>
    <w:rsid w:val="007A0DEB"/>
    <w:rsid w:val="007A38CD"/>
    <w:rsid w:val="007A766D"/>
    <w:rsid w:val="007A77DC"/>
    <w:rsid w:val="007B06AA"/>
    <w:rsid w:val="007B1080"/>
    <w:rsid w:val="007B3FDA"/>
    <w:rsid w:val="007B58B4"/>
    <w:rsid w:val="007C0897"/>
    <w:rsid w:val="007C5E99"/>
    <w:rsid w:val="007C6D84"/>
    <w:rsid w:val="007D1828"/>
    <w:rsid w:val="007E0F86"/>
    <w:rsid w:val="007E1220"/>
    <w:rsid w:val="007E32B6"/>
    <w:rsid w:val="007E40AA"/>
    <w:rsid w:val="007E6098"/>
    <w:rsid w:val="007F214F"/>
    <w:rsid w:val="007F66C2"/>
    <w:rsid w:val="007F71C3"/>
    <w:rsid w:val="00802F46"/>
    <w:rsid w:val="0080338A"/>
    <w:rsid w:val="00806156"/>
    <w:rsid w:val="0081194A"/>
    <w:rsid w:val="00816E31"/>
    <w:rsid w:val="0081755C"/>
    <w:rsid w:val="008209BF"/>
    <w:rsid w:val="008235A9"/>
    <w:rsid w:val="0082410A"/>
    <w:rsid w:val="00830913"/>
    <w:rsid w:val="00833DA0"/>
    <w:rsid w:val="00837C61"/>
    <w:rsid w:val="0084117B"/>
    <w:rsid w:val="00842ECC"/>
    <w:rsid w:val="00844C52"/>
    <w:rsid w:val="00844FAC"/>
    <w:rsid w:val="00847D06"/>
    <w:rsid w:val="008526AD"/>
    <w:rsid w:val="00852A74"/>
    <w:rsid w:val="0085467A"/>
    <w:rsid w:val="00855E29"/>
    <w:rsid w:val="00856912"/>
    <w:rsid w:val="00861C4A"/>
    <w:rsid w:val="00862721"/>
    <w:rsid w:val="00863B57"/>
    <w:rsid w:val="00870710"/>
    <w:rsid w:val="00871266"/>
    <w:rsid w:val="00871450"/>
    <w:rsid w:val="008739A5"/>
    <w:rsid w:val="00874462"/>
    <w:rsid w:val="00895391"/>
    <w:rsid w:val="00895DC9"/>
    <w:rsid w:val="008A3830"/>
    <w:rsid w:val="008A5426"/>
    <w:rsid w:val="008B0B17"/>
    <w:rsid w:val="008B1FC9"/>
    <w:rsid w:val="008B20D2"/>
    <w:rsid w:val="008B5D1E"/>
    <w:rsid w:val="008B60CD"/>
    <w:rsid w:val="008B64A4"/>
    <w:rsid w:val="008C1F51"/>
    <w:rsid w:val="008C41BB"/>
    <w:rsid w:val="008C4E5E"/>
    <w:rsid w:val="008C77FD"/>
    <w:rsid w:val="008D0202"/>
    <w:rsid w:val="008D0B1A"/>
    <w:rsid w:val="008D1177"/>
    <w:rsid w:val="008D43FD"/>
    <w:rsid w:val="008E5137"/>
    <w:rsid w:val="008E67DB"/>
    <w:rsid w:val="008E6FBA"/>
    <w:rsid w:val="008F0E09"/>
    <w:rsid w:val="008F14E7"/>
    <w:rsid w:val="008F24C8"/>
    <w:rsid w:val="00905340"/>
    <w:rsid w:val="0090798A"/>
    <w:rsid w:val="00907AEC"/>
    <w:rsid w:val="00911B78"/>
    <w:rsid w:val="009122AA"/>
    <w:rsid w:val="00914791"/>
    <w:rsid w:val="00925A17"/>
    <w:rsid w:val="00927AE1"/>
    <w:rsid w:val="0093239E"/>
    <w:rsid w:val="00933BBA"/>
    <w:rsid w:val="00933D38"/>
    <w:rsid w:val="00944C6F"/>
    <w:rsid w:val="00947DAA"/>
    <w:rsid w:val="0095255D"/>
    <w:rsid w:val="00952B18"/>
    <w:rsid w:val="0095500C"/>
    <w:rsid w:val="0095516F"/>
    <w:rsid w:val="009559AB"/>
    <w:rsid w:val="00961CD3"/>
    <w:rsid w:val="0096677D"/>
    <w:rsid w:val="009703AA"/>
    <w:rsid w:val="0097370D"/>
    <w:rsid w:val="009768D0"/>
    <w:rsid w:val="0097776B"/>
    <w:rsid w:val="00977B2B"/>
    <w:rsid w:val="00977C61"/>
    <w:rsid w:val="00983DF9"/>
    <w:rsid w:val="00987518"/>
    <w:rsid w:val="00993714"/>
    <w:rsid w:val="00994225"/>
    <w:rsid w:val="009969BB"/>
    <w:rsid w:val="009A14A5"/>
    <w:rsid w:val="009A42BC"/>
    <w:rsid w:val="009B0C9E"/>
    <w:rsid w:val="009B1C9C"/>
    <w:rsid w:val="009B2C85"/>
    <w:rsid w:val="009B5BC2"/>
    <w:rsid w:val="009C2069"/>
    <w:rsid w:val="009C521A"/>
    <w:rsid w:val="009C6F8E"/>
    <w:rsid w:val="009D63B0"/>
    <w:rsid w:val="009D7AA0"/>
    <w:rsid w:val="009D7B02"/>
    <w:rsid w:val="009E371D"/>
    <w:rsid w:val="009E4C02"/>
    <w:rsid w:val="009E5E1C"/>
    <w:rsid w:val="009E6DAE"/>
    <w:rsid w:val="009F1537"/>
    <w:rsid w:val="009F29D8"/>
    <w:rsid w:val="009F4C90"/>
    <w:rsid w:val="009F759C"/>
    <w:rsid w:val="009F7CF8"/>
    <w:rsid w:val="00A071FA"/>
    <w:rsid w:val="00A11CB0"/>
    <w:rsid w:val="00A16306"/>
    <w:rsid w:val="00A17171"/>
    <w:rsid w:val="00A21427"/>
    <w:rsid w:val="00A21A6C"/>
    <w:rsid w:val="00A229C4"/>
    <w:rsid w:val="00A25383"/>
    <w:rsid w:val="00A26C04"/>
    <w:rsid w:val="00A34AC8"/>
    <w:rsid w:val="00A401DA"/>
    <w:rsid w:val="00A4447E"/>
    <w:rsid w:val="00A445F8"/>
    <w:rsid w:val="00A4489D"/>
    <w:rsid w:val="00A47545"/>
    <w:rsid w:val="00A4788E"/>
    <w:rsid w:val="00A51A8B"/>
    <w:rsid w:val="00A5445C"/>
    <w:rsid w:val="00A5475A"/>
    <w:rsid w:val="00A5653C"/>
    <w:rsid w:val="00A61009"/>
    <w:rsid w:val="00A61538"/>
    <w:rsid w:val="00A616AA"/>
    <w:rsid w:val="00A63459"/>
    <w:rsid w:val="00A66CFA"/>
    <w:rsid w:val="00A70C4F"/>
    <w:rsid w:val="00A71AA7"/>
    <w:rsid w:val="00A71D6F"/>
    <w:rsid w:val="00A75B30"/>
    <w:rsid w:val="00A76F1E"/>
    <w:rsid w:val="00A81ECE"/>
    <w:rsid w:val="00A84912"/>
    <w:rsid w:val="00A879D0"/>
    <w:rsid w:val="00A87A12"/>
    <w:rsid w:val="00A90521"/>
    <w:rsid w:val="00A90D98"/>
    <w:rsid w:val="00A9773F"/>
    <w:rsid w:val="00A97F9F"/>
    <w:rsid w:val="00AA0BFE"/>
    <w:rsid w:val="00AA2082"/>
    <w:rsid w:val="00AB009C"/>
    <w:rsid w:val="00AB55B1"/>
    <w:rsid w:val="00AB633E"/>
    <w:rsid w:val="00AB7FE4"/>
    <w:rsid w:val="00AC18A8"/>
    <w:rsid w:val="00AC3CEC"/>
    <w:rsid w:val="00AC4A57"/>
    <w:rsid w:val="00AD4F90"/>
    <w:rsid w:val="00AD57C7"/>
    <w:rsid w:val="00AD74DA"/>
    <w:rsid w:val="00AE3332"/>
    <w:rsid w:val="00AE4AC1"/>
    <w:rsid w:val="00AE4D3D"/>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762A"/>
    <w:rsid w:val="00B4101D"/>
    <w:rsid w:val="00B41509"/>
    <w:rsid w:val="00B43375"/>
    <w:rsid w:val="00B52FAD"/>
    <w:rsid w:val="00B54660"/>
    <w:rsid w:val="00B56276"/>
    <w:rsid w:val="00B606E5"/>
    <w:rsid w:val="00B606E6"/>
    <w:rsid w:val="00B61A35"/>
    <w:rsid w:val="00B70428"/>
    <w:rsid w:val="00B70DB8"/>
    <w:rsid w:val="00B72632"/>
    <w:rsid w:val="00B73C10"/>
    <w:rsid w:val="00B74A78"/>
    <w:rsid w:val="00B74F12"/>
    <w:rsid w:val="00B75AC5"/>
    <w:rsid w:val="00B76971"/>
    <w:rsid w:val="00B77A5B"/>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32EB"/>
    <w:rsid w:val="00BC4611"/>
    <w:rsid w:val="00BC68AA"/>
    <w:rsid w:val="00BD020C"/>
    <w:rsid w:val="00BD0D17"/>
    <w:rsid w:val="00BD4663"/>
    <w:rsid w:val="00BD6425"/>
    <w:rsid w:val="00BF0849"/>
    <w:rsid w:val="00BF33D6"/>
    <w:rsid w:val="00BF3E98"/>
    <w:rsid w:val="00C00374"/>
    <w:rsid w:val="00C02553"/>
    <w:rsid w:val="00C041E1"/>
    <w:rsid w:val="00C07640"/>
    <w:rsid w:val="00C10A0B"/>
    <w:rsid w:val="00C11510"/>
    <w:rsid w:val="00C12A4D"/>
    <w:rsid w:val="00C133AC"/>
    <w:rsid w:val="00C149B9"/>
    <w:rsid w:val="00C16ED4"/>
    <w:rsid w:val="00C17007"/>
    <w:rsid w:val="00C226AB"/>
    <w:rsid w:val="00C266C0"/>
    <w:rsid w:val="00C27750"/>
    <w:rsid w:val="00C320BC"/>
    <w:rsid w:val="00C32A5C"/>
    <w:rsid w:val="00C348DE"/>
    <w:rsid w:val="00C349B7"/>
    <w:rsid w:val="00C3641F"/>
    <w:rsid w:val="00C40580"/>
    <w:rsid w:val="00C4092B"/>
    <w:rsid w:val="00C41A12"/>
    <w:rsid w:val="00C41D76"/>
    <w:rsid w:val="00C46269"/>
    <w:rsid w:val="00C5061E"/>
    <w:rsid w:val="00C51199"/>
    <w:rsid w:val="00C527BF"/>
    <w:rsid w:val="00C550E2"/>
    <w:rsid w:val="00C561B4"/>
    <w:rsid w:val="00C569F3"/>
    <w:rsid w:val="00C57F3A"/>
    <w:rsid w:val="00C6321C"/>
    <w:rsid w:val="00C6524D"/>
    <w:rsid w:val="00C6577D"/>
    <w:rsid w:val="00C66942"/>
    <w:rsid w:val="00C7259B"/>
    <w:rsid w:val="00C80014"/>
    <w:rsid w:val="00C81838"/>
    <w:rsid w:val="00C90BFF"/>
    <w:rsid w:val="00C922DC"/>
    <w:rsid w:val="00C9379A"/>
    <w:rsid w:val="00C97F28"/>
    <w:rsid w:val="00CA42AB"/>
    <w:rsid w:val="00CA504C"/>
    <w:rsid w:val="00CA767B"/>
    <w:rsid w:val="00CA7C02"/>
    <w:rsid w:val="00CB002F"/>
    <w:rsid w:val="00CB118D"/>
    <w:rsid w:val="00CB24A2"/>
    <w:rsid w:val="00CC153D"/>
    <w:rsid w:val="00CC2C20"/>
    <w:rsid w:val="00CC5DA1"/>
    <w:rsid w:val="00CD1A38"/>
    <w:rsid w:val="00CD1ED6"/>
    <w:rsid w:val="00CD4530"/>
    <w:rsid w:val="00CE04EA"/>
    <w:rsid w:val="00CE21A3"/>
    <w:rsid w:val="00CE3D7D"/>
    <w:rsid w:val="00CE5004"/>
    <w:rsid w:val="00CE6ED4"/>
    <w:rsid w:val="00CF07E7"/>
    <w:rsid w:val="00CF20EC"/>
    <w:rsid w:val="00D044FA"/>
    <w:rsid w:val="00D06A40"/>
    <w:rsid w:val="00D07F3D"/>
    <w:rsid w:val="00D11889"/>
    <w:rsid w:val="00D143FA"/>
    <w:rsid w:val="00D14989"/>
    <w:rsid w:val="00D1696F"/>
    <w:rsid w:val="00D246C7"/>
    <w:rsid w:val="00D330E4"/>
    <w:rsid w:val="00D354C6"/>
    <w:rsid w:val="00D4074A"/>
    <w:rsid w:val="00D4395E"/>
    <w:rsid w:val="00D44376"/>
    <w:rsid w:val="00D4445B"/>
    <w:rsid w:val="00D501A2"/>
    <w:rsid w:val="00D50C49"/>
    <w:rsid w:val="00D51521"/>
    <w:rsid w:val="00D515DA"/>
    <w:rsid w:val="00D62BAC"/>
    <w:rsid w:val="00D66F78"/>
    <w:rsid w:val="00D705DA"/>
    <w:rsid w:val="00D77ADC"/>
    <w:rsid w:val="00D77F0D"/>
    <w:rsid w:val="00D8308D"/>
    <w:rsid w:val="00D833EB"/>
    <w:rsid w:val="00D837CC"/>
    <w:rsid w:val="00D91FDD"/>
    <w:rsid w:val="00D92526"/>
    <w:rsid w:val="00D9748A"/>
    <w:rsid w:val="00DA43E0"/>
    <w:rsid w:val="00DA5A27"/>
    <w:rsid w:val="00DA78A9"/>
    <w:rsid w:val="00DA7A2B"/>
    <w:rsid w:val="00DB201C"/>
    <w:rsid w:val="00DB2DB0"/>
    <w:rsid w:val="00DB3857"/>
    <w:rsid w:val="00DB44A2"/>
    <w:rsid w:val="00DB4AA7"/>
    <w:rsid w:val="00DC0F23"/>
    <w:rsid w:val="00DC18EE"/>
    <w:rsid w:val="00DC2771"/>
    <w:rsid w:val="00DC295F"/>
    <w:rsid w:val="00DC3C57"/>
    <w:rsid w:val="00DC40E4"/>
    <w:rsid w:val="00DD2FE5"/>
    <w:rsid w:val="00DD6FE7"/>
    <w:rsid w:val="00DF3437"/>
    <w:rsid w:val="00DF3F05"/>
    <w:rsid w:val="00DF6B27"/>
    <w:rsid w:val="00DF749F"/>
    <w:rsid w:val="00DF7FC5"/>
    <w:rsid w:val="00E03447"/>
    <w:rsid w:val="00E0477B"/>
    <w:rsid w:val="00E072D2"/>
    <w:rsid w:val="00E100FC"/>
    <w:rsid w:val="00E12287"/>
    <w:rsid w:val="00E1770C"/>
    <w:rsid w:val="00E22677"/>
    <w:rsid w:val="00E23CB4"/>
    <w:rsid w:val="00E23CE7"/>
    <w:rsid w:val="00E3045C"/>
    <w:rsid w:val="00E30CD1"/>
    <w:rsid w:val="00E323CD"/>
    <w:rsid w:val="00E34CBA"/>
    <w:rsid w:val="00E36F2B"/>
    <w:rsid w:val="00E37E1A"/>
    <w:rsid w:val="00E40014"/>
    <w:rsid w:val="00E4276E"/>
    <w:rsid w:val="00E44D44"/>
    <w:rsid w:val="00E44FFE"/>
    <w:rsid w:val="00E50662"/>
    <w:rsid w:val="00E51C4F"/>
    <w:rsid w:val="00E54989"/>
    <w:rsid w:val="00E57E75"/>
    <w:rsid w:val="00E650D8"/>
    <w:rsid w:val="00E67AFF"/>
    <w:rsid w:val="00E7480F"/>
    <w:rsid w:val="00E753BD"/>
    <w:rsid w:val="00E774B6"/>
    <w:rsid w:val="00E83E00"/>
    <w:rsid w:val="00E8753A"/>
    <w:rsid w:val="00E90A44"/>
    <w:rsid w:val="00E966A2"/>
    <w:rsid w:val="00EA6CED"/>
    <w:rsid w:val="00EB0C83"/>
    <w:rsid w:val="00EB5E32"/>
    <w:rsid w:val="00EC514B"/>
    <w:rsid w:val="00ED08E0"/>
    <w:rsid w:val="00ED0F4E"/>
    <w:rsid w:val="00ED1DD5"/>
    <w:rsid w:val="00ED2BA5"/>
    <w:rsid w:val="00ED3882"/>
    <w:rsid w:val="00ED3E6B"/>
    <w:rsid w:val="00ED5759"/>
    <w:rsid w:val="00EE1188"/>
    <w:rsid w:val="00EE183A"/>
    <w:rsid w:val="00EE263C"/>
    <w:rsid w:val="00EE3D96"/>
    <w:rsid w:val="00EE7357"/>
    <w:rsid w:val="00EF4162"/>
    <w:rsid w:val="00EF6103"/>
    <w:rsid w:val="00F00C67"/>
    <w:rsid w:val="00F0469D"/>
    <w:rsid w:val="00F046EC"/>
    <w:rsid w:val="00F05739"/>
    <w:rsid w:val="00F0768A"/>
    <w:rsid w:val="00F07962"/>
    <w:rsid w:val="00F104F1"/>
    <w:rsid w:val="00F12096"/>
    <w:rsid w:val="00F12A59"/>
    <w:rsid w:val="00F12E33"/>
    <w:rsid w:val="00F1386E"/>
    <w:rsid w:val="00F14579"/>
    <w:rsid w:val="00F16D1C"/>
    <w:rsid w:val="00F2211E"/>
    <w:rsid w:val="00F23DF7"/>
    <w:rsid w:val="00F243AF"/>
    <w:rsid w:val="00F34661"/>
    <w:rsid w:val="00F34FC2"/>
    <w:rsid w:val="00F3550C"/>
    <w:rsid w:val="00F379C4"/>
    <w:rsid w:val="00F4075D"/>
    <w:rsid w:val="00F43CC2"/>
    <w:rsid w:val="00F45279"/>
    <w:rsid w:val="00F45D4D"/>
    <w:rsid w:val="00F477AD"/>
    <w:rsid w:val="00F4787A"/>
    <w:rsid w:val="00F55612"/>
    <w:rsid w:val="00F611C6"/>
    <w:rsid w:val="00F652FF"/>
    <w:rsid w:val="00F6638A"/>
    <w:rsid w:val="00F6673D"/>
    <w:rsid w:val="00F6765C"/>
    <w:rsid w:val="00F7607C"/>
    <w:rsid w:val="00F84ACA"/>
    <w:rsid w:val="00F865A9"/>
    <w:rsid w:val="00F8733E"/>
    <w:rsid w:val="00F913B7"/>
    <w:rsid w:val="00F91EA4"/>
    <w:rsid w:val="00F92464"/>
    <w:rsid w:val="00FA10AA"/>
    <w:rsid w:val="00FA2F7C"/>
    <w:rsid w:val="00FA3BF1"/>
    <w:rsid w:val="00FB0D3D"/>
    <w:rsid w:val="00FB166A"/>
    <w:rsid w:val="00FB7721"/>
    <w:rsid w:val="00FC64D6"/>
    <w:rsid w:val="00FC6768"/>
    <w:rsid w:val="00FD08DF"/>
    <w:rsid w:val="00FD4E32"/>
    <w:rsid w:val="00FD771E"/>
    <w:rsid w:val="00FD7F16"/>
    <w:rsid w:val="00FE1886"/>
    <w:rsid w:val="00FE2B6B"/>
    <w:rsid w:val="00FE441D"/>
    <w:rsid w:val="00FF46EE"/>
    <w:rsid w:val="02070CCA"/>
    <w:rsid w:val="05F13238"/>
    <w:rsid w:val="08F06232"/>
    <w:rsid w:val="0E0E1E7B"/>
    <w:rsid w:val="104F46BB"/>
    <w:rsid w:val="149E474A"/>
    <w:rsid w:val="154E78BA"/>
    <w:rsid w:val="159E12F7"/>
    <w:rsid w:val="16310F57"/>
    <w:rsid w:val="18D640E4"/>
    <w:rsid w:val="19212E29"/>
    <w:rsid w:val="1B5C1CAA"/>
    <w:rsid w:val="1EDA60DE"/>
    <w:rsid w:val="1FAA751D"/>
    <w:rsid w:val="2A1326D5"/>
    <w:rsid w:val="2CA06B43"/>
    <w:rsid w:val="2D6C2D67"/>
    <w:rsid w:val="35C863A1"/>
    <w:rsid w:val="376B32D9"/>
    <w:rsid w:val="3AF25F15"/>
    <w:rsid w:val="3DA161A2"/>
    <w:rsid w:val="3DE71671"/>
    <w:rsid w:val="3F7D7104"/>
    <w:rsid w:val="4009046E"/>
    <w:rsid w:val="4069171A"/>
    <w:rsid w:val="41547945"/>
    <w:rsid w:val="440B758D"/>
    <w:rsid w:val="487A428F"/>
    <w:rsid w:val="49DC5E66"/>
    <w:rsid w:val="4C6D505D"/>
    <w:rsid w:val="4F9B33E8"/>
    <w:rsid w:val="557369E7"/>
    <w:rsid w:val="55EB05B0"/>
    <w:rsid w:val="56C22B29"/>
    <w:rsid w:val="5C090AEC"/>
    <w:rsid w:val="5F0C752A"/>
    <w:rsid w:val="62A54310"/>
    <w:rsid w:val="64DE20E9"/>
    <w:rsid w:val="650E5193"/>
    <w:rsid w:val="657411FF"/>
    <w:rsid w:val="66D80C8D"/>
    <w:rsid w:val="6B364EF9"/>
    <w:rsid w:val="70613554"/>
    <w:rsid w:val="70C82840"/>
    <w:rsid w:val="79920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4"/>
    <w:qFormat/>
    <w:uiPriority w:val="0"/>
    <w:pPr>
      <w:keepNext/>
      <w:keepLines/>
      <w:spacing w:before="260" w:after="260" w:line="413" w:lineRule="auto"/>
      <w:outlineLvl w:val="2"/>
    </w:pPr>
    <w:rPr>
      <w:b/>
      <w:sz w:val="32"/>
    </w:rPr>
  </w:style>
  <w:style w:type="paragraph" w:styleId="5">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59"/>
    <w:qFormat/>
    <w:uiPriority w:val="99"/>
    <w:pPr>
      <w:jc w:val="left"/>
    </w:pPr>
  </w:style>
  <w:style w:type="paragraph" w:styleId="9">
    <w:name w:val="Body Text"/>
    <w:basedOn w:val="1"/>
    <w:link w:val="35"/>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6"/>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HTML Preformatted"/>
    <w:basedOn w:val="1"/>
    <w:link w:val="6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34"/>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qFormat/>
    <w:uiPriority w:val="99"/>
    <w:rPr>
      <w:sz w:val="21"/>
    </w:rPr>
  </w:style>
  <w:style w:type="character" w:styleId="31">
    <w:name w:val="footnote reference"/>
    <w:qFormat/>
    <w:uiPriority w:val="0"/>
    <w:rPr>
      <w:vertAlign w:val="superscript"/>
    </w:rPr>
  </w:style>
  <w:style w:type="character" w:customStyle="1" w:styleId="32">
    <w:name w:val="unnamed11"/>
    <w:qFormat/>
    <w:uiPriority w:val="0"/>
    <w:rPr>
      <w:rFonts w:hint="eastAsia" w:ascii="宋体" w:hAnsi="宋体" w:eastAsia="宋体"/>
      <w:sz w:val="18"/>
    </w:rPr>
  </w:style>
  <w:style w:type="character" w:customStyle="1" w:styleId="33">
    <w:name w:val="read"/>
    <w:basedOn w:val="26"/>
    <w:qFormat/>
    <w:uiPriority w:val="0"/>
  </w:style>
  <w:style w:type="character" w:customStyle="1" w:styleId="34">
    <w:name w:val="标题 Char"/>
    <w:link w:val="22"/>
    <w:qFormat/>
    <w:uiPriority w:val="0"/>
    <w:rPr>
      <w:rFonts w:ascii="Cambria" w:hAnsi="Cambria"/>
      <w:b/>
      <w:kern w:val="2"/>
      <w:sz w:val="32"/>
    </w:rPr>
  </w:style>
  <w:style w:type="character" w:customStyle="1" w:styleId="35">
    <w:name w:val="正文文本 Char"/>
    <w:link w:val="9"/>
    <w:qFormat/>
    <w:uiPriority w:val="0"/>
    <w:rPr>
      <w:rFonts w:ascii="宋体"/>
      <w:kern w:val="0"/>
    </w:rPr>
  </w:style>
  <w:style w:type="character" w:customStyle="1" w:styleId="36">
    <w:name w:val="页眉 Char"/>
    <w:link w:val="15"/>
    <w:qFormat/>
    <w:uiPriority w:val="99"/>
    <w:rPr>
      <w:kern w:val="2"/>
      <w:sz w:val="18"/>
    </w:rPr>
  </w:style>
  <w:style w:type="paragraph" w:customStyle="1" w:styleId="37">
    <w:name w:val="Char"/>
    <w:basedOn w:val="1"/>
    <w:qFormat/>
    <w:uiPriority w:val="0"/>
  </w:style>
  <w:style w:type="paragraph" w:customStyle="1" w:styleId="38">
    <w:name w:val="Char Char Char Char"/>
    <w:basedOn w:val="1"/>
    <w:qFormat/>
    <w:uiPriority w:val="0"/>
    <w:pPr>
      <w:tabs>
        <w:tab w:val="left" w:pos="360"/>
      </w:tabs>
    </w:pPr>
  </w:style>
  <w:style w:type="paragraph" w:customStyle="1" w:styleId="39">
    <w:name w:val="Char Char1"/>
    <w:basedOn w:val="1"/>
    <w:qFormat/>
    <w:uiPriority w:val="0"/>
  </w:style>
  <w:style w:type="paragraph" w:customStyle="1" w:styleId="40">
    <w:name w:val="unnamed1"/>
    <w:basedOn w:val="1"/>
    <w:qFormat/>
    <w:uiPriority w:val="0"/>
    <w:pPr>
      <w:spacing w:before="60" w:after="60"/>
      <w:ind w:left="15" w:right="15"/>
    </w:pPr>
    <w:rPr>
      <w:rFonts w:hint="eastAsia" w:ascii="宋体" w:hAnsi="宋体"/>
      <w:color w:val="000000"/>
      <w:sz w:val="18"/>
      <w:szCs w:val="18"/>
    </w:rPr>
  </w:style>
  <w:style w:type="paragraph" w:customStyle="1" w:styleId="41">
    <w:name w:val="正文正文"/>
    <w:basedOn w:val="1"/>
    <w:qFormat/>
    <w:uiPriority w:val="0"/>
    <w:pPr>
      <w:spacing w:afterLines="25" w:line="360" w:lineRule="auto"/>
      <w:ind w:firstLine="200" w:firstLineChars="200"/>
    </w:pPr>
    <w:rPr>
      <w:sz w:val="24"/>
    </w:rPr>
  </w:style>
  <w:style w:type="paragraph" w:customStyle="1" w:styleId="42">
    <w:name w:val="Char2"/>
    <w:basedOn w:val="1"/>
    <w:qFormat/>
    <w:uiPriority w:val="0"/>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Char Char"/>
    <w:basedOn w:val="1"/>
    <w:qFormat/>
    <w:uiPriority w:val="0"/>
  </w:style>
  <w:style w:type="paragraph" w:customStyle="1" w:styleId="45">
    <w:name w:val="Char Char Char"/>
    <w:basedOn w:val="1"/>
    <w:qFormat/>
    <w:uiPriority w:val="0"/>
  </w:style>
  <w:style w:type="paragraph" w:customStyle="1" w:styleId="4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List_bullet"/>
    <w:basedOn w:val="1"/>
    <w:qFormat/>
    <w:uiPriority w:val="0"/>
    <w:pPr>
      <w:widowControl/>
      <w:numPr>
        <w:ilvl w:val="0"/>
        <w:numId w:val="1"/>
      </w:numPr>
      <w:jc w:val="left"/>
    </w:pPr>
    <w:rPr>
      <w:kern w:val="0"/>
      <w:sz w:val="24"/>
    </w:rPr>
  </w:style>
  <w:style w:type="paragraph" w:customStyle="1" w:styleId="48">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9">
    <w:name w:val="正文所"/>
    <w:basedOn w:val="1"/>
    <w:qFormat/>
    <w:uiPriority w:val="0"/>
    <w:pPr>
      <w:spacing w:line="360" w:lineRule="auto"/>
      <w:ind w:firstLine="420" w:firstLineChars="200"/>
    </w:pPr>
    <w:rPr>
      <w:rFonts w:ascii="宋体"/>
    </w:rPr>
  </w:style>
  <w:style w:type="paragraph" w:customStyle="1" w:styleId="50">
    <w:name w:val="修订1"/>
    <w:hidden/>
    <w:semiHidden/>
    <w:qFormat/>
    <w:uiPriority w:val="99"/>
    <w:rPr>
      <w:rFonts w:ascii="Times New Roman" w:hAnsi="Times New Roman" w:eastAsia="宋体" w:cs="Times New Roman"/>
      <w:kern w:val="2"/>
      <w:sz w:val="21"/>
      <w:lang w:val="en-US" w:eastAsia="zh-CN" w:bidi="ar-SA"/>
    </w:rPr>
  </w:style>
  <w:style w:type="paragraph" w:customStyle="1" w:styleId="51">
    <w:name w:val="Char Char6"/>
    <w:basedOn w:val="1"/>
    <w:qFormat/>
    <w:uiPriority w:val="0"/>
  </w:style>
  <w:style w:type="paragraph" w:customStyle="1" w:styleId="52">
    <w:name w:val="Char Char Char Char1"/>
    <w:basedOn w:val="1"/>
    <w:qFormat/>
    <w:uiPriority w:val="0"/>
    <w:pPr>
      <w:tabs>
        <w:tab w:val="left" w:pos="360"/>
      </w:tabs>
    </w:pPr>
  </w:style>
  <w:style w:type="paragraph" w:customStyle="1" w:styleId="53">
    <w:name w:val="Char Char11"/>
    <w:basedOn w:val="1"/>
    <w:qFormat/>
    <w:uiPriority w:val="0"/>
  </w:style>
  <w:style w:type="paragraph" w:customStyle="1" w:styleId="54">
    <w:name w:val="Char1"/>
    <w:basedOn w:val="1"/>
    <w:qFormat/>
    <w:uiPriority w:val="0"/>
  </w:style>
  <w:style w:type="paragraph" w:customStyle="1" w:styleId="55">
    <w:name w:val="Char Char5"/>
    <w:basedOn w:val="1"/>
    <w:qFormat/>
    <w:uiPriority w:val="0"/>
  </w:style>
  <w:style w:type="paragraph" w:customStyle="1" w:styleId="56">
    <w:name w:val="Char Char Char1"/>
    <w:basedOn w:val="1"/>
    <w:qFormat/>
    <w:uiPriority w:val="0"/>
  </w:style>
  <w:style w:type="character" w:customStyle="1" w:styleId="57">
    <w:name w:val="标题 4 Char"/>
    <w:basedOn w:val="26"/>
    <w:link w:val="5"/>
    <w:semiHidden/>
    <w:qFormat/>
    <w:uiPriority w:val="9"/>
    <w:rPr>
      <w:rFonts w:asciiTheme="majorHAnsi" w:hAnsiTheme="majorHAnsi" w:eastAsiaTheme="majorEastAsia" w:cstheme="majorBidi"/>
      <w:b/>
      <w:bCs/>
      <w:kern w:val="2"/>
      <w:sz w:val="28"/>
      <w:szCs w:val="28"/>
    </w:rPr>
  </w:style>
  <w:style w:type="paragraph" w:styleId="58">
    <w:name w:val="List Paragraph"/>
    <w:basedOn w:val="1"/>
    <w:qFormat/>
    <w:uiPriority w:val="0"/>
    <w:pPr>
      <w:ind w:firstLine="420" w:firstLineChars="200"/>
    </w:pPr>
  </w:style>
  <w:style w:type="character" w:customStyle="1" w:styleId="59">
    <w:name w:val="批注文字 Char1"/>
    <w:basedOn w:val="26"/>
    <w:link w:val="8"/>
    <w:qFormat/>
    <w:uiPriority w:val="0"/>
    <w:rPr>
      <w:kern w:val="2"/>
      <w:sz w:val="21"/>
    </w:rPr>
  </w:style>
  <w:style w:type="paragraph" w:customStyle="1" w:styleId="60">
    <w:name w:val="Char Char4"/>
    <w:basedOn w:val="1"/>
    <w:qFormat/>
    <w:uiPriority w:val="0"/>
  </w:style>
  <w:style w:type="character" w:customStyle="1" w:styleId="61">
    <w:name w:val="批注文字 Char"/>
    <w:qFormat/>
    <w:uiPriority w:val="99"/>
    <w:rPr>
      <w:kern w:val="2"/>
      <w:sz w:val="21"/>
    </w:rPr>
  </w:style>
  <w:style w:type="paragraph" w:customStyle="1" w:styleId="62">
    <w:name w:val="Char Char3"/>
    <w:basedOn w:val="1"/>
    <w:qFormat/>
    <w:uiPriority w:val="0"/>
  </w:style>
  <w:style w:type="paragraph" w:customStyle="1" w:styleId="63">
    <w:name w:val="Char Char2"/>
    <w:basedOn w:val="1"/>
    <w:qFormat/>
    <w:uiPriority w:val="0"/>
  </w:style>
  <w:style w:type="character" w:customStyle="1" w:styleId="64">
    <w:name w:val="标题 3 Char"/>
    <w:basedOn w:val="26"/>
    <w:link w:val="4"/>
    <w:qFormat/>
    <w:uiPriority w:val="0"/>
    <w:rPr>
      <w:b/>
      <w:kern w:val="2"/>
      <w:sz w:val="32"/>
    </w:rPr>
  </w:style>
  <w:style w:type="character" w:customStyle="1" w:styleId="65">
    <w:name w:val="HTML 预设格式 Char"/>
    <w:basedOn w:val="26"/>
    <w:link w:val="20"/>
    <w:qFormat/>
    <w:uiPriority w:val="99"/>
    <w:rPr>
      <w:rFonts w:ascii="宋体" w:hAnsi="宋体" w:cs="宋体"/>
      <w:sz w:val="24"/>
      <w:szCs w:val="24"/>
    </w:rPr>
  </w:style>
  <w:style w:type="character" w:customStyle="1" w:styleId="66">
    <w:name w:val="页脚 Char"/>
    <w:basedOn w:val="26"/>
    <w:link w:val="14"/>
    <w:qFormat/>
    <w:uiPriority w:val="99"/>
    <w:rPr>
      <w:kern w:val="2"/>
      <w:sz w:val="18"/>
    </w:rPr>
  </w:style>
  <w:style w:type="paragraph" w:customStyle="1" w:styleId="6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character" w:customStyle="1" w:styleId="68">
    <w:name w:val="标题 1 Char"/>
    <w:basedOn w:val="26"/>
    <w:link w:val="2"/>
    <w:qFormat/>
    <w:uiPriority w:val="0"/>
    <w:rPr>
      <w:rFonts w:ascii="宋体"/>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860289-4BAA-471A-8980-59AA4D3041F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1529</Words>
  <Characters>8719</Characters>
  <Lines>72</Lines>
  <Paragraphs>20</Paragraphs>
  <TotalTime>40</TotalTime>
  <ScaleCrop>false</ScaleCrop>
  <LinksUpToDate>false</LinksUpToDate>
  <CharactersWithSpaces>10228</CharactersWithSpaces>
  <Application>WPS Office_11.8.2.8959_F1E327BC-269C-435d-A152-05C5408002CA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2024-03-04T03:16:00Z</dcterms:created>
  <dc:creator>Mandy.Z</dc:creator>
  <cp:lastModifiedBy>cib</cp:lastModifiedBy>
  <cp:lastPrinted>2017-10-31T06:33:00Z</cp:lastPrinted>
  <dcterms:modified xsi:type="dcterms:W3CDTF">2025-04-30T02:14:10Z</dcterms:modified>
  <dc:title>___证券投资基金招募说明书1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7F764BA8FE1445D395384AAC04665998_13</vt:lpwstr>
  </property>
</Properties>
</file>