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widowControl/>
        <w:ind w:left="0" w:leftChars="0" w:firstLine="0" w:firstLineChars="0"/>
        <w:jc w:val="center"/>
        <w:outlineLvl w:val="0"/>
        <w:rPr>
          <w:rFonts w:hint="eastAsia" w:ascii="宋体" w:hAnsi="宋体" w:cs="宋体"/>
          <w:b/>
          <w:bCs/>
          <w:sz w:val="44"/>
          <w:szCs w:val="44"/>
          <w:highlight w:val="none"/>
        </w:rPr>
      </w:pPr>
      <w:bookmarkStart w:id="0" w:name="_GoBack"/>
      <w:bookmarkEnd w:id="0"/>
      <w:r>
        <w:rPr>
          <w:rFonts w:hint="eastAsia" w:ascii="宋体" w:hAnsi="宋体" w:eastAsia="宋体" w:cs="宋体"/>
          <w:b/>
          <w:bCs/>
          <w:kern w:val="2"/>
          <w:sz w:val="44"/>
          <w:szCs w:val="44"/>
          <w:highlight w:val="none"/>
          <w:lang w:val="en-US" w:eastAsia="zh" w:bidi="ar-SA"/>
        </w:rPr>
        <w:t>幸福99丰裕固收763天25235期理财</w:t>
      </w:r>
      <w:r>
        <w:rPr>
          <w:rFonts w:hint="eastAsia" w:ascii="宋体" w:hAnsi="宋体" w:cs="宋体"/>
          <w:b/>
          <w:bCs/>
          <w:sz w:val="44"/>
          <w:szCs w:val="44"/>
          <w:highlight w:val="none"/>
        </w:rPr>
        <w:t>产品说明书</w:t>
      </w:r>
    </w:p>
    <w:p>
      <w:pPr>
        <w:jc w:val="center"/>
        <w:outlineLvl w:val="1"/>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eastAsia="宋体" w:cs="宋体"/>
          <w:bCs/>
          <w:kern w:val="2"/>
          <w:sz w:val="24"/>
          <w:szCs w:val="24"/>
          <w:highlight w:val="none"/>
          <w:lang w:val="en-US" w:eastAsia="zh-CN" w:bidi="ar-SA"/>
        </w:rPr>
        <w:t>Z7002225000472</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1"/>
        </w:numPr>
        <w:spacing w:line="360" w:lineRule="auto"/>
        <w:jc w:val="left"/>
        <w:outlineLvl w:val="1"/>
        <w:rPr>
          <w:rFonts w:ascii="宋体" w:hAnsi="宋体" w:cs="宋体"/>
          <w:b/>
          <w:sz w:val="24"/>
          <w:highlight w:val="none"/>
        </w:rPr>
      </w:pPr>
      <w:r>
        <w:rPr>
          <w:rFonts w:hint="eastAsia" w:ascii="宋体" w:hAnsi="宋体" w:cs="宋体"/>
          <w:b/>
          <w:sz w:val="24"/>
          <w:highlight w:val="none"/>
        </w:rPr>
        <w:t>重要须知</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w:t>
      </w:r>
      <w:r>
        <w:rPr>
          <w:rFonts w:hint="eastAsia" w:ascii="宋体" w:hAnsi="宋体" w:cs="宋体"/>
          <w:bCs/>
          <w:sz w:val="24"/>
          <w:highlight w:val="none"/>
          <w:lang w:val="en-US" w:eastAsia="zh-CN"/>
        </w:rPr>
        <w:t>因上述变化导致的</w:t>
      </w:r>
      <w:r>
        <w:rPr>
          <w:rFonts w:hint="eastAsia" w:ascii="宋体" w:hAnsi="宋体" w:cs="宋体"/>
          <w:bCs/>
          <w:sz w:val="24"/>
          <w:highlight w:val="none"/>
        </w:rPr>
        <w:t>本理财计划说明书条款</w:t>
      </w:r>
      <w:r>
        <w:rPr>
          <w:rFonts w:hint="eastAsia" w:ascii="宋体" w:hAnsi="宋体" w:cs="宋体"/>
          <w:bCs/>
          <w:sz w:val="24"/>
          <w:highlight w:val="none"/>
          <w:lang w:val="en-US" w:eastAsia="zh-CN"/>
        </w:rPr>
        <w:t>变化</w:t>
      </w:r>
      <w:r>
        <w:rPr>
          <w:rFonts w:hint="eastAsia" w:ascii="宋体" w:hAnsi="宋体" w:cs="宋体"/>
          <w:bCs/>
          <w:sz w:val="24"/>
          <w:highlight w:val="none"/>
        </w:rPr>
        <w:t>进行修订。</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spacing w:line="360" w:lineRule="auto"/>
        <w:jc w:val="left"/>
        <w:rPr>
          <w:rFonts w:hint="eastAsia" w:ascii="宋体" w:hAnsi="宋体" w:cs="宋体"/>
          <w:bCs/>
          <w:sz w:val="24"/>
          <w:highlight w:val="none"/>
        </w:rPr>
      </w:pPr>
    </w:p>
    <w:p>
      <w:pPr>
        <w:numPr>
          <w:ilvl w:val="0"/>
          <w:numId w:val="3"/>
        </w:numPr>
        <w:spacing w:line="360" w:lineRule="auto"/>
        <w:jc w:val="left"/>
        <w:outlineLvl w:val="1"/>
        <w:rPr>
          <w:rFonts w:ascii="宋体" w:hAnsi="宋体" w:cs="宋体"/>
          <w:b/>
          <w:sz w:val="24"/>
          <w:highlight w:val="none"/>
        </w:rPr>
      </w:pPr>
      <w:r>
        <w:rPr>
          <w:rFonts w:hint="eastAsia" w:ascii="宋体" w:hAnsi="宋体" w:cs="宋体"/>
          <w:b/>
          <w:sz w:val="24"/>
          <w:highlight w:val="none"/>
        </w:rPr>
        <w:t>释义</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u w:val="none"/>
        </w:rPr>
        <w:t>。</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u w:val="none"/>
        </w:rPr>
        <w:fldChar w:fldCharType="begin"/>
      </w:r>
      <w:r>
        <w:rPr>
          <w:rFonts w:hint="eastAsia" w:ascii="宋体" w:hAnsi="宋体" w:cs="宋体"/>
          <w:bCs/>
          <w:color w:val="000000"/>
          <w:kern w:val="2"/>
          <w:highlight w:val="none"/>
          <w:u w:val="none"/>
        </w:rPr>
        <w:instrText xml:space="preserve"> HYPERLINK "http://www.hzbank.com.cn" </w:instrText>
      </w:r>
      <w:r>
        <w:rPr>
          <w:rFonts w:hint="eastAsia" w:ascii="宋体" w:hAnsi="宋体" w:cs="宋体"/>
          <w:bCs/>
          <w:color w:val="000000"/>
          <w:kern w:val="2"/>
          <w:highlight w:val="none"/>
          <w:u w:val="none"/>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幸福99丰裕固收763天25235期理财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幸福99丰裕固收763天25235期理财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幸福99丰裕固收763天25235期理财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幸福99丰裕固收763天25235期理财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w:t>
      </w:r>
      <w:r>
        <w:rPr>
          <w:rFonts w:hint="eastAsia" w:ascii="宋体" w:hAnsi="宋体" w:cs="宋体"/>
          <w:b/>
          <w:bCs w:val="0"/>
          <w:color w:val="auto"/>
          <w:kern w:val="2"/>
          <w:highlight w:val="none"/>
          <w:lang w:val="en-US" w:eastAsia="zh-CN"/>
        </w:rPr>
        <w:t>计划</w:t>
      </w:r>
      <w:r>
        <w:rPr>
          <w:rFonts w:hint="eastAsia" w:ascii="宋体" w:hAnsi="宋体" w:cs="宋体"/>
          <w:b/>
          <w:bCs w:val="0"/>
          <w:color w:val="auto"/>
          <w:kern w:val="2"/>
          <w:highlight w:val="none"/>
          <w:lang w:eastAsia="zh-CN"/>
        </w:rPr>
        <w:t>销售协议书：</w:t>
      </w:r>
      <w:r>
        <w:rPr>
          <w:rFonts w:hint="eastAsia" w:ascii="宋体" w:hAnsi="宋体" w:cs="宋体"/>
          <w:bCs/>
          <w:color w:val="auto"/>
          <w:kern w:val="2"/>
          <w:highlight w:val="none"/>
          <w:lang w:eastAsia="zh-CN"/>
        </w:rPr>
        <w:t>指作为</w:t>
      </w:r>
      <w:r>
        <w:rPr>
          <w:rFonts w:hint="eastAsia" w:ascii="宋体" w:hAnsi="宋体" w:eastAsia="宋体" w:cs="宋体"/>
          <w:bCs/>
          <w:color w:val="auto"/>
          <w:kern w:val="2"/>
          <w:sz w:val="24"/>
          <w:szCs w:val="24"/>
          <w:highlight w:val="none"/>
          <w:lang w:val="en-US" w:eastAsia="zh-CN" w:bidi="ar-SA"/>
        </w:rPr>
        <w:t>幸福99丰裕固收763天25235期理财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合同/销售文件：</w:t>
      </w:r>
      <w:r>
        <w:rPr>
          <w:rFonts w:hint="eastAsia" w:ascii="宋体" w:hAnsi="宋体" w:cs="宋体"/>
          <w:bCs/>
          <w:color w:val="auto"/>
          <w:kern w:val="2"/>
          <w:highlight w:val="none"/>
        </w:rPr>
        <w:t>指《理财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产品说明</w:t>
      </w:r>
      <w:r>
        <w:rPr>
          <w:rFonts w:hint="eastAsia" w:ascii="宋体" w:hAnsi="宋体" w:cs="宋体"/>
          <w:bCs/>
          <w:color w:val="auto"/>
          <w:kern w:val="2"/>
          <w:highlight w:val="none"/>
        </w:rPr>
        <w:t>书》《投资者权益须知》《理财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rPr>
        <w:t>投资协议书》</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幸福99丰裕固收763天25235期理财</w:t>
      </w:r>
      <w:r>
        <w:rPr>
          <w:rFonts w:hint="eastAsia" w:ascii="宋体" w:hAnsi="宋体" w:cs="宋体"/>
          <w:bCs/>
          <w:highlight w:val="none"/>
        </w:rPr>
        <w:t>。</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17"/>
        <w:numPr>
          <w:ilvl w:val="0"/>
          <w:numId w:val="7"/>
        </w:numPr>
        <w:adjustRightInd/>
        <w:spacing w:line="360" w:lineRule="auto"/>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17"/>
        <w:numPr>
          <w:ilvl w:val="0"/>
          <w:numId w:val="7"/>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w:t>
      </w:r>
      <w:r>
        <w:rPr>
          <w:rFonts w:hint="eastAsia" w:ascii="宋体" w:hAnsi="宋体" w:cs="宋体"/>
          <w:bCs/>
          <w:highlight w:val="none"/>
          <w:lang w:val="en-US" w:eastAsia="zh-CN"/>
        </w:rPr>
        <w:t>如涉及到监管条例部分，统一以监管条例表述替代。</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如因国家相关主管部门临时调整节假日安排，导致原定成立日、到期日、估值日等日期安排发生变化的，原则上采用顺延方式对原定日期进行调整，如有特殊安排，以管理人对外披露的公告为准。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17"/>
        <w:numPr>
          <w:ilvl w:val="0"/>
          <w:numId w:val="7"/>
        </w:numPr>
        <w:adjustRightInd/>
        <w:spacing w:line="360" w:lineRule="auto"/>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流动性</w:t>
      </w:r>
      <w:r>
        <w:rPr>
          <w:rFonts w:hint="eastAsia"/>
          <w:b/>
          <w:bCs w:val="0"/>
          <w:highlight w:val="none"/>
          <w:lang w:val="en-US" w:eastAsia="zh-CN"/>
        </w:rPr>
        <w:t>受限资产：</w:t>
      </w:r>
      <w:r>
        <w:rPr>
          <w:rFonts w:hint="eastAsia"/>
          <w:highlight w:val="none"/>
          <w:lang w:val="en-US" w:eastAsia="zh-CN"/>
        </w:rPr>
        <w:t>是指由于法律法规、监管、合同或操作障碍等原因无法以合理价格予以变现的资产，包括到期日在</w:t>
      </w:r>
      <w:r>
        <w:rPr>
          <w:rFonts w:hint="eastAsia" w:ascii="宋体" w:hAnsi="宋体" w:eastAsia="宋体" w:cs="宋体"/>
          <w:highlight w:val="none"/>
          <w:lang w:val="en-US" w:eastAsia="zh-CN"/>
        </w:rPr>
        <w:t>10</w:t>
      </w:r>
      <w:r>
        <w:rPr>
          <w:rFonts w:hint="eastAsia"/>
          <w:highlight w:val="none"/>
          <w:lang w:val="en-US" w:eastAsia="zh-CN"/>
        </w:rPr>
        <w:t>个交易日以上的逆回购与银行定期存款（含协议约定有条件提前支取的银行存款）、距可赎回日在</w:t>
      </w:r>
      <w:r>
        <w:rPr>
          <w:rFonts w:hint="eastAsia" w:ascii="宋体" w:hAnsi="宋体" w:eastAsia="宋体" w:cs="宋体"/>
          <w:highlight w:val="none"/>
          <w:lang w:val="en-US" w:eastAsia="zh-CN"/>
        </w:rPr>
        <w:t>10</w:t>
      </w:r>
      <w:r>
        <w:rPr>
          <w:rFonts w:hint="eastAsia"/>
          <w:highlight w:val="none"/>
          <w:lang w:val="en-US" w:eastAsia="zh-CN"/>
        </w:rPr>
        <w:t>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7"/>
        </w:numPr>
        <w:adjustRightInd/>
        <w:spacing w:line="360" w:lineRule="auto"/>
        <w:rPr>
          <w:rFonts w:hint="eastAsia" w:ascii="宋体" w:hAnsi="宋体" w:cs="宋体"/>
          <w:b/>
          <w:bCs w:val="0"/>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17"/>
        <w:numPr>
          <w:ilvl w:val="0"/>
          <w:numId w:val="8"/>
        </w:numPr>
        <w:adjustRightInd/>
        <w:spacing w:line="360" w:lineRule="auto"/>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17"/>
        <w:numPr>
          <w:ilvl w:val="0"/>
          <w:numId w:val="9"/>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17"/>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7"/>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7"/>
        <w:adjustRightInd/>
        <w:spacing w:line="360" w:lineRule="auto"/>
        <w:rPr>
          <w:rFonts w:hint="eastAsia" w:ascii="宋体" w:hAnsi="宋体" w:cs="宋体"/>
          <w:bCs/>
          <w:color w:val="auto"/>
          <w:kern w:val="2"/>
          <w:highlight w:val="none"/>
        </w:rPr>
      </w:pPr>
    </w:p>
    <w:p>
      <w:pPr>
        <w:pStyle w:val="17"/>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R2</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8"/>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17"/>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17"/>
        <w:adjustRightInd/>
        <w:spacing w:line="360" w:lineRule="auto"/>
        <w:rPr>
          <w:rFonts w:hint="eastAsia" w:ascii="宋体" w:hAnsi="宋体" w:cs="宋体"/>
          <w:bCs/>
          <w:color w:val="auto"/>
          <w:kern w:val="2"/>
          <w:highlight w:val="none"/>
          <w:lang w:eastAsia="zh-CN"/>
        </w:rPr>
      </w:pPr>
    </w:p>
    <w:p>
      <w:pPr>
        <w:pStyle w:val="17"/>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幸福99丰裕固收763天25235期理财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丰裕固收25235期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FYG25235</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Z7002225000472</w:t>
            </w:r>
            <w:r>
              <w:rPr>
                <w:rFonts w:hint="eastAsia" w:ascii="宋体" w:hAnsi="宋体" w:cs="宋体"/>
                <w:color w:val="000000"/>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Cs w:val="21"/>
                <w:highlight w:val="none"/>
              </w:rPr>
              <w:t>。</w:t>
            </w:r>
            <w:r>
              <w:rPr>
                <w:rFonts w:hint="eastAsia" w:ascii="宋体" w:hAnsi="宋体" w:cs="宋体"/>
                <w:bCs/>
                <w:color w:val="auto"/>
                <w:kern w:val="2"/>
                <w:highlight w:val="none"/>
                <w:lang w:eastAsia="zh-CN"/>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A份额（销售代码〖FYG25235A〗）：普通个人投资者和机构客户。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B份额（销售代码〖FYG25235B〗）：普通个人投资者和机构客户。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C份额（销售代码〖FYG25235C〗）：普通个人投资者和机构客户。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D份额（销售代码〖FYG25235D〗）：普通个人投资者和机构客户。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E份额（幸福金桂）（销售代码〖FYG25235E〗）：普通个人投资者和机构客户。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F份额（幸福金桂私行专属）（销售代码〖FYG25235F〗）：特邀客户。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H份额（汉口银行新春专属）（销售代码〖FYG25235H〗）：普通个人投资者和机构客户。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I份额（爽盈优选）（销售代码〖FYG25235I〗）：普通个人投资者和机构客户。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M份额（天府·优选）（销售代码〖FYG25235M〗）：普通个人投资者和机构客户。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N份额惠享款（长长财富·专属）（销售代码〖FYG25235N〗）：普通个人投资者和机构客户。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P份额（芙蓉锦程·优选）（销售代码〖FYG25235P〗）：普通个人投资者和机构客户。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Q份额（芙蓉锦程·优选-尊享款）（销售代码〖FYG25235Q〗）：普通个人投资者和机构客户。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R份额（兰州银行开门红专属）（销售代码〖FYG25235R〗）：普通个人投资者和机构客户。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W份额惠享款（销售代码〖FYG25235W〗）：普通个人投资者和机构客户。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Y份额惠享款（销售代码〖FYG25235Y〗）：普通个人投资者和机构客户。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Z份额惠享款（销售代码〖FYG25235Z〗）：普通个人投资者和机构客户。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固定收益类</w:t>
            </w:r>
            <w:r>
              <w:rPr>
                <w:rFonts w:hint="eastAsia" w:ascii="宋体" w:hAnsi="宋体" w:cs="宋体"/>
                <w:szCs w:val="21"/>
                <w:highlight w:val="none"/>
              </w:rPr>
              <w:t>〗</w:t>
            </w:r>
            <w:r>
              <w:rPr>
                <w:rFonts w:hint="eastAsia" w:ascii="宋体" w:hAnsi="宋体" w:cs="宋体"/>
                <w:color w:val="000000"/>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cs="宋体"/>
                <w:color w:val="000000"/>
                <w:szCs w:val="21"/>
                <w:highlight w:val="none"/>
              </w:rPr>
              <w:t>全国</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可通过</w:t>
            </w:r>
            <w:r>
              <w:rPr>
                <w:rFonts w:hint="eastAsia" w:ascii="宋体" w:hAnsi="宋体" w:cs="宋体"/>
                <w:color w:val="000000"/>
                <w:szCs w:val="21"/>
                <w:highlight w:val="none"/>
                <w:lang w:eastAsia="zh-CN"/>
              </w:rPr>
              <w:t>杭银理财直销渠道和代理</w:t>
            </w:r>
            <w:r>
              <w:rPr>
                <w:rFonts w:hint="eastAsia" w:ascii="宋体" w:hAnsi="宋体" w:cs="宋体"/>
                <w:color w:val="000000"/>
                <w:szCs w:val="21"/>
                <w:highlight w:val="none"/>
              </w:rPr>
              <w:t>销售机构的〖营业网点、网上银行、手机银行〗等渠道购买</w:t>
            </w:r>
            <w:r>
              <w:rPr>
                <w:rFonts w:hint="eastAsia" w:ascii="宋体" w:hAnsi="宋体" w:cs="宋体"/>
                <w:color w:val="000000"/>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〖40〗亿元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2025</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12</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30</w:t>
            </w:r>
            <w:r>
              <w:rPr>
                <w:rFonts w:hint="eastAsia" w:ascii="宋体" w:hAnsi="宋体" w:cs="宋体"/>
                <w:color w:val="000000"/>
                <w:szCs w:val="21"/>
                <w:highlight w:val="none"/>
              </w:rPr>
              <w:t>〗日-〖</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Cs w:val="21"/>
                <w:highlight w:val="none"/>
              </w:rPr>
              <w:t>〗日</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认购期首日〖9：00〗至认购结束日〖17：00〗</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8</w:t>
            </w:r>
            <w:r>
              <w:rPr>
                <w:rFonts w:hint="eastAsia" w:ascii="宋体" w:hAnsi="宋体" w:cs="宋体"/>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到期日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2028</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2</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10</w:t>
            </w:r>
            <w:r>
              <w:rPr>
                <w:rFonts w:hint="eastAsia" w:ascii="宋体" w:hAnsi="宋体" w:cs="宋体"/>
                <w:color w:val="000000"/>
                <w:szCs w:val="21"/>
                <w:highlight w:val="none"/>
              </w:rPr>
              <w:t>〗日，若到期日为非工作日则顺延至下一个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763</w:t>
            </w:r>
            <w:r>
              <w:rPr>
                <w:rFonts w:hint="eastAsia" w:ascii="宋体" w:hAnsi="宋体" w:cs="宋体"/>
                <w:color w:val="000000"/>
                <w:szCs w:val="21"/>
                <w:highlight w:val="none"/>
              </w:rPr>
              <w:t>〗天（实际理财期限受制于管理人提前终止权等条款）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0"/>
                <w:sz w:val="21"/>
                <w:szCs w:val="21"/>
                <w:highlight w:val="none"/>
                <w:lang w:val="en-US" w:eastAsia="zh-CN" w:bidi="ar-SA"/>
              </w:rPr>
              <w:t>〖A份额〗起点〖1〗元整，超过认购起点部分，应为〖1〗元的整数倍。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〖C份额〗起点〖1〗元整，超过认购起点部分，应为〖1〗元的整数倍。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〖D份额〗起点〖1〗元整，超过认购起点部分，应为〖1〗元的整数倍。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〖E份额〗起点〖1〗元整，超过认购起点部分，应为〖1〗元的整数倍。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〖F份额〗起点〖1〗元整，超过认购起点部分，应为〖1〗元的整数倍。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〖H份额〗起点〖20〗万元整，超过认购起点部分，应为〖1〗元的整数倍。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〖I份额〗起点〖1〗元整，超过认购起点部分，应为〖1〗元的整数倍。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〖M份额〗起点〖1〗元整，超过认购起点部分，应为〖1〗元的整数倍。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〖N份额〗起点〖1〗元整，超过认购起点部分，应为〖1〗元的整数倍。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〖P份额〗起点〖1〗元整，超过认购起点部分，应为〖1〗元的整数倍。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〖Q份额〗起点〖1〗元整，超过认购起点部分，应为〖1〗元的整数倍。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〖R份额〗起点〖20〗万元整，超过认购起点部分，应为〖1〗元的整数倍。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〖W份额〗起点〖1〗元整，超过认购起点部分，应为〖1〗元的整数倍。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〖Y份额〗起点〖1〗元整，超过认购起点部分，应为〖1〗元的整数倍。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〖Z份额〗起点〖1〗元整，超过认购起点部分，应为〖1〗元的整数倍。</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〖3〗千万元</w:t>
            </w:r>
            <w:r>
              <w:rPr>
                <w:rFonts w:hint="eastAsia" w:ascii="宋体" w:hAnsi="宋体" w:cs="宋体"/>
                <w:color w:val="000000"/>
                <w:szCs w:val="21"/>
                <w:highlight w:val="none"/>
              </w:rPr>
              <w:t>，则管理人可宣布本理财计划不成立并在原定理财计划成立日后</w:t>
            </w:r>
            <w:r>
              <w:rPr>
                <w:rFonts w:hint="eastAsia" w:ascii="宋体" w:hAnsi="宋体" w:cs="宋体"/>
                <w:szCs w:val="21"/>
                <w:highlight w:val="none"/>
              </w:rPr>
              <w:t>〖</w:t>
            </w:r>
            <w:r>
              <w:rPr>
                <w:rFonts w:hint="eastAsia" w:ascii="宋体" w:hAnsi="宋体" w:cs="宋体"/>
                <w:color w:val="000000"/>
                <w:szCs w:val="21"/>
                <w:highlight w:val="none"/>
              </w:rPr>
              <w:t>2</w:t>
            </w:r>
            <w:r>
              <w:rPr>
                <w:rFonts w:hint="eastAsia" w:ascii="宋体" w:hAnsi="宋体" w:cs="宋体"/>
                <w:szCs w:val="21"/>
                <w:highlight w:val="none"/>
              </w:rPr>
              <w:t>〗</w:t>
            </w:r>
            <w:r>
              <w:rPr>
                <w:rFonts w:hint="eastAsia" w:ascii="宋体" w:hAnsi="宋体" w:cs="宋体"/>
                <w:color w:val="000000"/>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Cs w:val="21"/>
                <w:highlight w:val="none"/>
                <w:lang w:val="en-US" w:eastAsia="zh"/>
              </w:rPr>
            </w:pPr>
            <w:r>
              <w:rPr>
                <w:rFonts w:hint="eastAsia" w:ascii="宋体" w:hAnsi="宋体" w:cs="宋体"/>
                <w:color w:val="000000"/>
                <w:sz w:val="21"/>
                <w:szCs w:val="21"/>
                <w:highlight w:val="none"/>
                <w:lang w:val="en-US" w:eastAsia="zh-CN"/>
              </w:rPr>
              <w:t>单户持有份额不得超过理财计划总份额的50%。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Cs w:val="21"/>
                <w:highlight w:val="none"/>
              </w:rPr>
              <w:t>理财计划总份额，单位净值</w:t>
            </w:r>
            <w:r>
              <w:rPr>
                <w:rFonts w:hint="eastAsia" w:ascii="宋体" w:hAnsi="宋体" w:cs="宋体"/>
                <w:szCs w:val="21"/>
                <w:highlight w:val="none"/>
              </w:rPr>
              <w:t>〖</w:t>
            </w:r>
            <w:r>
              <w:rPr>
                <w:rFonts w:hint="eastAsia" w:ascii="宋体" w:hAnsi="宋体" w:cs="宋体"/>
                <w:color w:val="000000"/>
                <w:szCs w:val="21"/>
                <w:highlight w:val="none"/>
              </w:rPr>
              <w:t>保留小数点后四位</w:t>
            </w:r>
            <w:r>
              <w:rPr>
                <w:rFonts w:hint="eastAsia" w:ascii="宋体" w:hAnsi="宋体" w:cs="宋体"/>
                <w:szCs w:val="21"/>
                <w:highlight w:val="none"/>
              </w:rPr>
              <w:t>〗</w:t>
            </w:r>
            <w:r>
              <w:rPr>
                <w:rFonts w:hint="eastAsia" w:ascii="宋体" w:hAnsi="宋体" w:cs="宋体"/>
                <w:color w:val="000000"/>
                <w:szCs w:val="21"/>
                <w:highlight w:val="none"/>
                <w:lang w:val="en-US" w:eastAsia="zh-CN"/>
              </w:rPr>
              <w:t>,</w:t>
            </w:r>
            <w:r>
              <w:rPr>
                <w:rFonts w:hint="eastAsia" w:ascii="宋体" w:hAnsi="宋体" w:cs="宋体"/>
                <w:szCs w:val="21"/>
                <w:highlight w:val="none"/>
              </w:rPr>
              <w:t>〖</w:t>
            </w:r>
            <w:r>
              <w:rPr>
                <w:rFonts w:hint="eastAsia" w:ascii="宋体" w:hAnsi="宋体" w:cs="宋体"/>
                <w:kern w:val="2"/>
                <w:sz w:val="21"/>
                <w:szCs w:val="21"/>
                <w:highlight w:val="none"/>
                <w:lang w:val="en-US" w:eastAsia="zh" w:bidi="ar-SA"/>
              </w:rPr>
              <w:t>四舍五入</w:t>
            </w:r>
            <w:r>
              <w:rPr>
                <w:rFonts w:hint="eastAsia" w:ascii="宋体" w:hAnsi="宋体" w:cs="宋体"/>
                <w:szCs w:val="21"/>
                <w:highlight w:val="none"/>
              </w:rPr>
              <w:t>〗</w:t>
            </w:r>
            <w:r>
              <w:rPr>
                <w:rFonts w:hint="eastAsia" w:ascii="宋体" w:hAnsi="宋体" w:cs="宋体"/>
                <w:color w:val="000000"/>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理财计划总净值=理财计划认购总额+理财计划所获总收益-理财计划总费用（包括但不限于管理费、托管费、</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资金与收益支付方式</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Cs w:val="21"/>
                <w:highlight w:val="none"/>
              </w:rPr>
            </w:pPr>
            <w:r>
              <w:rPr>
                <w:rFonts w:hint="eastAsia" w:ascii="宋体" w:hAnsi="宋体" w:cs="宋体"/>
                <w:color w:val="000000"/>
                <w:szCs w:val="21"/>
                <w:highlight w:val="none"/>
              </w:rPr>
              <w:t>理财计划到期后，最快</w:t>
            </w:r>
            <w:r>
              <w:rPr>
                <w:rFonts w:hint="eastAsia" w:ascii="宋体" w:hAnsi="宋体" w:eastAsia="宋体" w:cs="宋体"/>
                <w:kern w:val="2"/>
                <w:sz w:val="21"/>
                <w:szCs w:val="21"/>
                <w:lang w:val="en-US" w:eastAsia="zh-CN" w:bidi="ar"/>
              </w:rPr>
              <w:t>〖1〗</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Cs w:val="21"/>
                <w:highlight w:val="none"/>
              </w:rPr>
              <w:t>，最晚</w:t>
            </w:r>
            <w:r>
              <w:rPr>
                <w:rFonts w:hint="eastAsia" w:ascii="宋体" w:hAnsi="宋体" w:eastAsia="宋体" w:cs="宋体"/>
                <w:kern w:val="2"/>
                <w:sz w:val="21"/>
                <w:szCs w:val="21"/>
                <w:lang w:val="en-US" w:eastAsia="zh-CN" w:bidi="ar"/>
              </w:rPr>
              <w:t>〖3〗</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eastAsia="宋体" w:cs="宋体"/>
                <w:color w:val="000000"/>
                <w:kern w:val="2"/>
                <w:sz w:val="21"/>
                <w:szCs w:val="21"/>
                <w:lang w:val="en-US" w:eastAsia="zh-CN" w:bidi="ar"/>
              </w:rPr>
              <w:t>内</w:t>
            </w:r>
            <w:r>
              <w:rPr>
                <w:rFonts w:hint="eastAsia" w:ascii="宋体" w:hAnsi="宋体" w:cs="宋体"/>
                <w:color w:val="000000"/>
                <w:szCs w:val="21"/>
                <w:highlight w:val="none"/>
              </w:rPr>
              <w:t>（遇节假日顺延）支付。如遇资金在途或法定工作日调整，实际资金到账日以公告为准。</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szCs w:val="21"/>
                <w:highlight w:val="none"/>
              </w:rPr>
            </w:pPr>
            <w:r>
              <w:rPr>
                <w:rFonts w:hint="eastAsia" w:ascii="宋体" w:hAnsi="宋体" w:cs="宋体"/>
                <w:color w:val="000000"/>
                <w:szCs w:val="21"/>
                <w:highlight w:val="none"/>
              </w:rPr>
              <w:t>在满足收益分配基准日理财计划份额净值大于1元的情况下，管理人将</w:t>
            </w:r>
            <w:r>
              <w:rPr>
                <w:rFonts w:hint="eastAsia" w:ascii="宋体" w:hAnsi="宋体" w:cs="宋体"/>
                <w:szCs w:val="21"/>
                <w:highlight w:val="none"/>
              </w:rPr>
              <w:t>〖</w:t>
            </w:r>
            <w:r>
              <w:rPr>
                <w:rFonts w:hint="eastAsia" w:ascii="宋体" w:hAnsi="宋体" w:cs="宋体"/>
                <w:color w:val="000000"/>
                <w:szCs w:val="21"/>
                <w:highlight w:val="none"/>
                <w:lang w:eastAsia="zh"/>
              </w:rPr>
              <w:t>不</w:t>
            </w:r>
            <w:r>
              <w:rPr>
                <w:rFonts w:hint="eastAsia" w:ascii="宋体" w:hAnsi="宋体" w:cs="宋体"/>
                <w:color w:val="000000"/>
                <w:szCs w:val="21"/>
                <w:highlight w:val="none"/>
              </w:rPr>
              <w:t>定期</w:t>
            </w:r>
            <w:r>
              <w:rPr>
                <w:rFonts w:hint="eastAsia" w:ascii="宋体" w:hAnsi="宋体" w:cs="宋体"/>
                <w:szCs w:val="21"/>
                <w:highlight w:val="none"/>
              </w:rPr>
              <w:t>〗</w:t>
            </w:r>
            <w:r>
              <w:rPr>
                <w:rFonts w:hint="eastAsia" w:ascii="宋体" w:hAnsi="宋体" w:cs="宋体"/>
                <w:color w:val="000000"/>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业绩比较基准</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本理财计划〖A份额〗业绩比较基准为〖2.50%-2.70%〗（年化）。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本理财计划〖B份额〗业绩比较基准为〖2.60%-2.80%〗（年化）。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本理财计划〖C份额〗业绩比较基准为〖2.70%-2.90%〗（年化）。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本理财计划〖D份额〗业绩比较基准为〖2.65%-2.85%〗（年化）。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本理财计划〖E份额〗业绩比较基准为〖2.60%-2.80%〗（年化）。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本理财计划〖F份额〗业绩比较基准为〖2.65%-2.85%〗（年化）。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本理财计划〖H份额〗业绩比较基准为〖2.85%-3.05%〗（年化）。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本理财计划〖I份额〗业绩比较基准为〖2.50%-2.70%〗（年化）。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本理财计划〖M份额〗业绩比较基准为〖2.65%-2.85%〗（年化）。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本理财计划〖N份额〗业绩比较基准为〖2.60%-2.80%〗（年化）。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本理财计划〖P份额〗业绩比较基准为〖2.65%-2.85%〗（年化）。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本理财计划〖Q份额〗业绩比较基准为〖2.80%-3.00%〗（年化）。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本理财计划〖R份额〗业绩比较基准为〖2.65%-2.85%〗（年化）。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本理财计划〖W份额〗业绩比较基准为〖2.50%-2.70%〗（年化）。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本理财计划〖Y份额〗业绩比较基准为〖2.60%-2.80%〗（年化）。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本理财计划〖Z份额〗业绩比较基准为〖2.70%-2.90%〗（年化）。</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szCs w:val="21"/>
                <w:highlight w:val="none"/>
              </w:rPr>
            </w:pPr>
            <w:r>
              <w:rPr>
                <w:rFonts w:hint="eastAsia" w:ascii="宋体" w:hAnsi="宋体" w:cs="宋体"/>
                <w:b/>
                <w:bCs/>
                <w:color w:val="000000"/>
                <w:szCs w:val="21"/>
                <w:highlight w:val="none"/>
              </w:rPr>
              <w:t>业绩基准测算依据：</w:t>
            </w:r>
            <w:r>
              <w:rPr>
                <w:rFonts w:hint="eastAsia" w:ascii="宋体" w:hAnsi="宋体" w:eastAsia="宋体" w:cs="宋体"/>
                <w:b/>
                <w:bCs/>
                <w:color w:val="000000"/>
                <w:kern w:val="2"/>
                <w:sz w:val="21"/>
                <w:szCs w:val="21"/>
                <w:lang w:val="en-US" w:eastAsia="zh-CN" w:bidi="ar"/>
              </w:rPr>
              <w:t>本理财计划重</w:t>
            </w:r>
            <w:r>
              <w:rPr>
                <w:rFonts w:hint="eastAsia" w:ascii="宋体" w:hAnsi="宋体" w:eastAsia="宋体" w:cs="宋体"/>
                <w:b/>
                <w:bCs/>
                <w:kern w:val="2"/>
                <w:sz w:val="21"/>
                <w:szCs w:val="21"/>
                <w:lang w:val="en-US" w:eastAsia="zh-CN" w:bidi="ar"/>
              </w:rPr>
              <w:t>点投资于货币市场工具、债券、非标准化债权类资产等资产，管理人根据固定收益市场历史表现，结合当前利率水平、资产配比及市场同类型产品情况，经综合判断得出。</w:t>
            </w:r>
          </w:p>
          <w:p>
            <w:pPr>
              <w:keepNext w:val="0"/>
              <w:keepLines w:val="0"/>
              <w:widowControl/>
              <w:suppressLineNumbers w:val="0"/>
              <w:spacing w:before="0" w:beforeAutospacing="0" w:after="0" w:afterAutospacing="0" w:line="360" w:lineRule="auto"/>
              <w:ind w:left="0" w:right="0"/>
              <w:jc w:val="left"/>
              <w:rPr>
                <w:rFonts w:hint="eastAsia" w:ascii="宋体" w:hAnsi="宋体" w:cs="宋体"/>
                <w:b/>
                <w:szCs w:val="21"/>
                <w:highlight w:val="none"/>
              </w:rPr>
            </w:pPr>
            <w:r>
              <w:rPr>
                <w:rFonts w:hint="eastAsia" w:ascii="宋体" w:hAnsi="宋体" w:cs="宋体"/>
                <w:szCs w:val="21"/>
                <w:highlight w:val="none"/>
              </w:rPr>
              <w:t>管理人有权根据市场情况及</w:t>
            </w:r>
            <w:r>
              <w:rPr>
                <w:rFonts w:hint="eastAsia" w:ascii="宋体" w:hAnsi="宋体" w:cs="宋体"/>
                <w:szCs w:val="21"/>
                <w:highlight w:val="none"/>
                <w:lang w:eastAsia="zh-CN"/>
              </w:rPr>
              <w:t>理财计划</w:t>
            </w:r>
            <w:r>
              <w:rPr>
                <w:rFonts w:hint="eastAsia" w:ascii="宋体" w:hAnsi="宋体" w:cs="宋体"/>
                <w:szCs w:val="21"/>
                <w:highlight w:val="none"/>
              </w:rPr>
              <w:t>运作情况调整业绩基准，并至少于新业绩基准启用前</w:t>
            </w:r>
            <w:r>
              <w:rPr>
                <w:rFonts w:hint="eastAsia" w:ascii="宋体" w:hAnsi="宋体" w:cs="宋体"/>
                <w:kern w:val="0"/>
                <w:highlight w:val="none"/>
              </w:rPr>
              <w:t>〖</w:t>
            </w:r>
            <w:r>
              <w:rPr>
                <w:rFonts w:hint="eastAsia" w:ascii="宋体" w:hAnsi="宋体" w:cs="宋体"/>
                <w:color w:val="000000"/>
                <w:kern w:val="0"/>
                <w:highlight w:val="none"/>
                <w:lang w:val="en-US" w:eastAsia="zh-CN"/>
              </w:rPr>
              <w:t>2</w:t>
            </w:r>
            <w:r>
              <w:rPr>
                <w:rFonts w:hint="eastAsia" w:ascii="宋体" w:hAnsi="宋体" w:cs="宋体"/>
                <w:kern w:val="0"/>
                <w:highlight w:val="none"/>
              </w:rPr>
              <w:t>〗</w:t>
            </w:r>
            <w:r>
              <w:rPr>
                <w:rFonts w:hint="eastAsia" w:ascii="宋体" w:hAnsi="宋体" w:cs="宋体"/>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b/>
                <w:szCs w:val="21"/>
                <w:highlight w:val="none"/>
              </w:rPr>
              <w:t>本理财计划为净值型理财产品，其业绩表现将随市场波动具有不确定性。本公司提醒投资者关注，业绩比较基准</w:t>
            </w:r>
            <w:r>
              <w:rPr>
                <w:rFonts w:hint="eastAsia" w:ascii="宋体" w:hAnsi="宋体" w:cs="宋体"/>
                <w:b/>
                <w:szCs w:val="21"/>
                <w:highlight w:val="none"/>
                <w:lang w:eastAsia="zh-CN"/>
              </w:rPr>
              <w:t>不是预期收益率，</w:t>
            </w:r>
            <w:r>
              <w:rPr>
                <w:rFonts w:hint="eastAsia" w:ascii="宋体" w:hAnsi="宋体" w:cs="宋体"/>
                <w:b/>
                <w:szCs w:val="21"/>
                <w:highlight w:val="none"/>
              </w:rPr>
              <w:t>并不代表</w:t>
            </w:r>
            <w:r>
              <w:rPr>
                <w:rFonts w:hint="eastAsia" w:ascii="宋体" w:hAnsi="宋体" w:cs="宋体"/>
                <w:b/>
                <w:szCs w:val="21"/>
                <w:highlight w:val="none"/>
                <w:lang w:eastAsia="zh-CN"/>
              </w:rPr>
              <w:t>理财计划的未来表现和</w:t>
            </w:r>
            <w:r>
              <w:rPr>
                <w:rFonts w:hint="eastAsia" w:ascii="宋体" w:hAnsi="宋体" w:cs="宋体"/>
                <w:b/>
                <w:szCs w:val="21"/>
                <w:highlight w:val="none"/>
              </w:rPr>
              <w:t>实际收益率</w:t>
            </w:r>
            <w:r>
              <w:rPr>
                <w:rFonts w:hint="eastAsia" w:ascii="宋体" w:hAnsi="宋体" w:cs="宋体"/>
                <w:b/>
                <w:szCs w:val="21"/>
                <w:highlight w:val="none"/>
                <w:lang w:eastAsia="zh-CN"/>
              </w:rPr>
              <w:t>，不构成对理财计划收益的承诺</w:t>
            </w:r>
            <w:r>
              <w:rPr>
                <w:rFonts w:hint="eastAsia" w:ascii="宋体" w:hAnsi="宋体" w:cs="宋体"/>
                <w:b/>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〖C份额〗收取年化〖0.10%〗的销售服务费, 〖D份额〗收取年化〖0.15%〗的销售服务费, 〖E份额〗收取年化〖0.20%〗的销售服务费, 〖F份额〗收取年化〖0.15%〗的销售服务费, 〖H份额〗收取年化〖0.01%〗的销售服务费, 〖I份额〗收取年化〖0.30%〗的销售服务费, 〖M份额〗收取年化〖0.15%〗的销售服务费, 〖N份额〗收取年化〖0.20%〗的销售服务费, 〖P份额〗收取年化〖0.15%〗的销售服务费, 〖Q份额〗收取年化〖0.05%〗的销售服务费, 〖R份额〗收取年化〖0.15%〗的销售服务费, 〖W份额〗收取年化〖0.30%〗的销售服务费, 〖Y份额〗收取年化〖0.20%〗的销售服务费, 〖Z份额〗收取年化〖0.10%〗的销售服务费。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2.托管费：收取年化</w:t>
            </w: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Cs w:val="21"/>
                <w:highlight w:val="none"/>
                <w:lang w:eastAsia="zh"/>
              </w:rPr>
              <w:t>%</w:t>
            </w:r>
            <w:r>
              <w:rPr>
                <w:rFonts w:hint="eastAsia" w:ascii="宋体" w:hAnsi="宋体" w:cs="宋体"/>
                <w:szCs w:val="21"/>
                <w:highlight w:val="none"/>
              </w:rPr>
              <w:t>〗</w:t>
            </w:r>
            <w:r>
              <w:rPr>
                <w:rFonts w:hint="eastAsia" w:ascii="宋体" w:hAnsi="宋体" w:cs="宋体"/>
                <w:color w:val="000000"/>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〖A份额〗收取年化〖0.10%〗的固定管理费, 〖B份额〗收取年化〖0.10%〗的固定管理费, 〖C份额〗收取年化〖0.10%〗的固定管理费, 〖D份额〗收取年化〖0.10%〗的固定管理费, 〖E份额〗收取年化〖0.10%〗的固定管理费, 〖F份额〗收取年化〖0.10%〗的固定管理费, 〖H份额〗收取年化〖0.04%〗的固定管理费, 〖I份额〗收取年化〖0.10%〗的固定管理费, 〖M份额〗收取年化〖0.10%〗的固定管理费, 〖N份额〗收取年化〖0.10%〗的固定管理费, 〖P份额〗收取年化〖0.10%〗的固定管理费, 〖Q份额〗收取年化〖0.05%〗的固定管理费, 〖R份额〗收取年化〖0.10%〗的固定管理费, 〖W份额〗收取年化〖0.10%〗的固定管理费, 〖Y份额〗收取年化〖0.10%〗的固定管理费, 〖Z份额〗收取年化〖0.10%〗的固定管理费。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5.浮动管理费</w:t>
            </w:r>
            <w:r>
              <w:rPr>
                <w:rFonts w:hint="eastAsia" w:ascii="宋体" w:hAnsi="宋体" w:cs="宋体"/>
                <w:color w:val="000000"/>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到期日（提前终止日）的折合年化收益率在〖业绩比较基准下限（含）至业绩比较基准上限（含）〗的部分，管理人提取〖50%〗作为浮动管理费，在折合年化收益率超过〖业绩比较基准上限〗的部分，管理人提取〖80%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Cs w:val="21"/>
                <w:highlight w:val="none"/>
              </w:rPr>
            </w:pPr>
            <w:r>
              <w:rPr>
                <w:rFonts w:hint="eastAsia" w:ascii="宋体" w:hAnsi="宋体" w:cs="宋体"/>
                <w:color w:val="000000"/>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Cs w:val="21"/>
                <w:highlight w:val="none"/>
              </w:rPr>
            </w:pPr>
            <w:r>
              <w:rPr>
                <w:rFonts w:hint="eastAsia" w:ascii="宋体" w:hAnsi="宋体" w:cs="宋体"/>
                <w:color w:val="000000"/>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Cs w:val="21"/>
                <w:highlight w:val="none"/>
              </w:rPr>
            </w:pPr>
            <w:r>
              <w:rPr>
                <w:rFonts w:hint="eastAsia" w:ascii="宋体" w:hAnsi="宋体" w:cs="宋体"/>
                <w:b/>
                <w:color w:val="000000"/>
                <w:szCs w:val="21"/>
                <w:highlight w:val="none"/>
              </w:rPr>
              <w:t>投资者在理财期限内不能提前</w:t>
            </w:r>
            <w:r>
              <w:rPr>
                <w:rFonts w:hint="eastAsia" w:ascii="宋体" w:hAnsi="宋体" w:cs="宋体"/>
                <w:b/>
                <w:color w:val="000000"/>
                <w:szCs w:val="21"/>
                <w:highlight w:val="none"/>
                <w:lang w:eastAsia="zh-CN"/>
              </w:rPr>
              <w:t>赎回</w:t>
            </w:r>
            <w:r>
              <w:rPr>
                <w:rFonts w:hint="eastAsia" w:ascii="宋体" w:hAnsi="宋体" w:cs="宋体"/>
                <w:b/>
                <w:color w:val="000000"/>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1"/>
        </w:numPr>
        <w:spacing w:line="360" w:lineRule="auto"/>
        <w:outlineLvl w:val="1"/>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auto"/>
          <w:kern w:val="2"/>
          <w:sz w:val="24"/>
          <w:szCs w:val="24"/>
          <w:highlight w:val="none"/>
          <w:lang w:val="en-US" w:eastAsia="zh-CN" w:bidi="ar-SA"/>
        </w:rPr>
        <w:t>本理财计划自成立日起〖12个月〗为建仓期，管理人应当在建仓期结束前使各项投资比例符合约定。</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本理财计划主要投资于符合监管要求的各类资产：</w:t>
      </w:r>
    </w:p>
    <w:p>
      <w:pPr>
        <w:keepNext w:val="0"/>
        <w:keepLines w:val="0"/>
        <w:widowControl w:val="0"/>
        <w:suppressLineNumbers w:val="0"/>
        <w:spacing w:before="0" w:beforeAutospacing="0" w:after="0" w:afterAutospacing="0" w:line="360" w:lineRule="auto"/>
        <w:ind w:left="-1" w:right="-1" w:firstLine="480"/>
        <w:jc w:val="left"/>
        <w:rPr>
          <w:rFonts w:hint="eastAsia" w:ascii="宋体" w:hAnsi="宋体" w:eastAsia="宋体" w:cs="宋体"/>
          <w:kern w:val="2"/>
          <w:position w:val="0"/>
          <w:sz w:val="24"/>
          <w:szCs w:val="24"/>
          <w:highlight w:val="none"/>
        </w:rPr>
      </w:pPr>
      <w:r>
        <w:rPr>
          <w:rFonts w:hint="eastAsia" w:ascii="宋体" w:hAnsi="宋体" w:eastAsia="宋体" w:cs="宋体"/>
          <w:kern w:val="2"/>
          <w:position w:val="0"/>
          <w:sz w:val="24"/>
          <w:szCs w:val="24"/>
          <w:highlight w:val="none"/>
          <w:lang w:val="en-US" w:eastAsia="zh-CN" w:bidi="ar"/>
        </w:rPr>
        <w:t>包括但不限于各类债券、存款、货币市场金融工具、债券基金、质押式及买断式回购、非标准化债权类资产，其他符合监管要求的固定收益类资产及资产管理产品。</w:t>
      </w:r>
    </w:p>
    <w:p>
      <w:pPr>
        <w:keepNext w:val="0"/>
        <w:keepLines w:val="0"/>
        <w:widowControl w:val="0"/>
        <w:suppressLineNumbers w:val="0"/>
        <w:spacing w:before="0" w:beforeAutospacing="0" w:after="0" w:afterAutospacing="0"/>
        <w:ind w:left="0" w:leftChars="0" w:right="0" w:firstLine="480" w:firstLineChars="200"/>
        <w:jc w:val="both"/>
        <w:rPr>
          <w:rFonts w:hint="eastAsia" w:ascii="宋体" w:hAnsi="宋体" w:eastAsia="宋体" w:cs="宋体"/>
          <w:highlight w:val="none"/>
        </w:rPr>
      </w:pPr>
      <w:r>
        <w:rPr>
          <w:rFonts w:hint="eastAsia" w:ascii="宋体" w:hAnsi="宋体" w:eastAsia="宋体" w:cs="宋体"/>
          <w:kern w:val="2"/>
          <w:position w:val="0"/>
          <w:sz w:val="24"/>
          <w:szCs w:val="24"/>
          <w:highlight w:val="none"/>
          <w:lang w:val="en-US" w:eastAsia="zh-CN" w:bidi="ar"/>
        </w:rPr>
        <w:t>法律法规或监管机构允许投资的符合本理财产品投资性质的其他金融资产。</w:t>
      </w:r>
    </w:p>
    <w:p>
      <w:pPr>
        <w:numPr>
          <w:ilvl w:val="0"/>
          <w:numId w:val="12"/>
        </w:numPr>
        <w:spacing w:line="360" w:lineRule="auto"/>
        <w:jc w:val="left"/>
        <w:outlineLvl w:val="2"/>
        <w:rPr>
          <w:rFonts w:hint="eastAsia" w:ascii="宋体" w:hAnsi="宋体" w:eastAsia="宋体" w:cs="宋体"/>
          <w:b/>
          <w:sz w:val="24"/>
          <w:highlight w:val="none"/>
        </w:rPr>
      </w:pPr>
      <w:r>
        <w:rPr>
          <w:rFonts w:hint="eastAsia" w:ascii="宋体" w:hAnsi="宋体" w:eastAsia="宋体" w:cs="宋体"/>
          <w:b/>
          <w:sz w:val="24"/>
          <w:highlight w:val="none"/>
        </w:rPr>
        <w:t>投资比例</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本理财计划各投资资产占</w:t>
      </w:r>
      <w:r>
        <w:rPr>
          <w:rFonts w:hint="eastAsia" w:ascii="宋体" w:hAnsi="宋体" w:eastAsia="宋体" w:cs="宋体"/>
          <w:bCs/>
          <w:sz w:val="24"/>
          <w:highlight w:val="none"/>
          <w:lang w:eastAsia="zh-CN"/>
        </w:rPr>
        <w:t>总</w:t>
      </w:r>
      <w:r>
        <w:rPr>
          <w:rFonts w:hint="eastAsia" w:ascii="宋体" w:hAnsi="宋体" w:eastAsia="宋体" w:cs="宋体"/>
          <w:bCs/>
          <w:sz w:val="24"/>
          <w:highlight w:val="none"/>
        </w:rPr>
        <w:t>资产的配置比例如下：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sz w:val="24"/>
          <w:szCs w:val="24"/>
          <w:highlight w:val="none"/>
        </w:rPr>
      </w:pPr>
      <w:r>
        <w:rPr>
          <w:rFonts w:hint="eastAsia" w:ascii="宋体" w:hAnsi="宋体" w:eastAsia="宋体" w:cs="宋体"/>
          <w:kern w:val="2"/>
          <w:sz w:val="24"/>
          <w:szCs w:val="24"/>
          <w:lang w:val="en-US" w:eastAsia="zh-CN" w:bidi="ar"/>
        </w:rPr>
        <w:t>本理财产品投资于固定收益类资产的比例不低于80%，投资于非标准化债权类资产的比例不高于50%。</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pStyle w:val="17"/>
        <w:numPr>
          <w:ilvl w:val="0"/>
          <w:numId w:val="13"/>
        </w:numPr>
        <w:adjustRightInd/>
        <w:spacing w:line="360" w:lineRule="auto"/>
        <w:ind w:firstLine="458" w:firstLineChars="190"/>
        <w:rPr>
          <w:rFonts w:hint="eastAsia" w:ascii="宋体" w:hAnsi="宋体" w:cs="宋体"/>
          <w:bCs/>
          <w:color w:val="auto"/>
          <w:kern w:val="2"/>
          <w:highlight w:val="none"/>
        </w:rPr>
      </w:pPr>
      <w:r>
        <w:rPr>
          <w:rFonts w:hint="eastAsia" w:ascii="宋体" w:hAnsi="宋体" w:cs="宋体"/>
          <w:b/>
          <w:bCs w:val="0"/>
          <w:color w:val="auto"/>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投资策略</w:t>
      </w:r>
    </w:p>
    <w:p>
      <w:pPr>
        <w:pStyle w:val="17"/>
        <w:numPr>
          <w:ilvl w:val="0"/>
          <w:numId w:val="14"/>
        </w:numPr>
        <w:adjustRightInd/>
        <w:spacing w:line="360" w:lineRule="auto"/>
        <w:rPr>
          <w:rFonts w:hint="eastAsia" w:ascii="宋体" w:hAnsi="宋体" w:cs="宋体"/>
          <w:bCs/>
          <w:color w:val="000000"/>
          <w:kern w:val="2"/>
          <w:highlight w:val="none"/>
        </w:rPr>
      </w:pPr>
      <w:r>
        <w:rPr>
          <w:rFonts w:hint="eastAsia" w:ascii="宋体" w:hAnsi="宋体" w:cs="宋体"/>
          <w:bCs/>
          <w:color w:val="000000"/>
          <w:kern w:val="2"/>
          <w:highlight w:val="none"/>
        </w:rPr>
        <w:t>资产配置策略</w:t>
      </w:r>
    </w:p>
    <w:p>
      <w:pPr>
        <w:pStyle w:val="17"/>
        <w:adjustRightInd/>
        <w:spacing w:line="360" w:lineRule="auto"/>
        <w:rPr>
          <w:rFonts w:ascii="宋体" w:cs="宋体"/>
          <w:color w:val="000000"/>
          <w:sz w:val="21"/>
          <w:szCs w:val="21"/>
          <w:highlight w:val="none"/>
        </w:rPr>
      </w:pPr>
      <w:r>
        <w:rPr>
          <w:rFonts w:hint="eastAsia" w:ascii="宋体" w:hAnsi="宋体" w:cs="宋体"/>
          <w:bCs/>
          <w:color w:val="000000"/>
          <w:kern w:val="2"/>
          <w:highlight w:val="none"/>
        </w:rPr>
        <w:t xml:space="preserve">    将通过对宏观经济形势、各项国家政策、及证券市场环境的分析来判断经济周期目前的位置，主动判断市场时机进行资产配置，确定在各类资产上的投资比例。</w:t>
      </w:r>
    </w:p>
    <w:p>
      <w:pPr>
        <w:numPr>
          <w:ilvl w:val="0"/>
          <w:numId w:val="1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债券投资策略</w:t>
      </w:r>
    </w:p>
    <w:p>
      <w:pPr>
        <w:pStyle w:val="17"/>
        <w:adjustRightInd/>
        <w:spacing w:line="360" w:lineRule="auto"/>
        <w:ind w:firstLine="480" w:firstLineChars="200"/>
        <w:rPr>
          <w:rFonts w:hint="eastAsia" w:ascii="宋体" w:hAnsi="宋体" w:cs="宋体"/>
          <w:bCs/>
          <w:color w:val="000000"/>
          <w:highlight w:val="none"/>
        </w:rPr>
      </w:pPr>
      <w:r>
        <w:rPr>
          <w:rFonts w:hint="eastAsia" w:ascii="宋体" w:hAnsi="宋体" w:cs="宋体"/>
          <w:bCs/>
          <w:color w:val="000000"/>
          <w:kern w:val="2"/>
          <w:highlight w:val="none"/>
        </w:rPr>
        <w:t>管理人本着稳健投资的理念，采用安全性和流动性优先、优选投资品种，采取久期策略和信用策略来获取稳定收益。</w:t>
      </w:r>
    </w:p>
    <w:p>
      <w:pPr>
        <w:keepNext w:val="0"/>
        <w:keepLines w:val="0"/>
        <w:widowControl w:val="0"/>
        <w:numPr>
          <w:ilvl w:val="0"/>
          <w:numId w:val="15"/>
        </w:numPr>
        <w:suppressLineNumbers w:val="0"/>
        <w:spacing w:before="0" w:beforeAutospacing="0" w:after="0" w:afterAutospacing="0" w:line="360" w:lineRule="auto"/>
        <w:ind w:left="0" w:right="0"/>
        <w:jc w:val="both"/>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非标准化债权类资产投资策略</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000000"/>
          <w:kern w:val="2"/>
          <w:highlight w:val="none"/>
        </w:rPr>
      </w:pPr>
      <w:r>
        <w:rPr>
          <w:rFonts w:hint="eastAsia" w:ascii="宋体" w:hAnsi="宋体" w:eastAsia="宋体" w:cs="宋体"/>
          <w:color w:val="000000"/>
          <w:kern w:val="2"/>
          <w:sz w:val="24"/>
          <w:szCs w:val="24"/>
          <w:lang w:val="en-US" w:eastAsia="zh-CN" w:bidi="ar"/>
        </w:rPr>
        <w:t>管理人发挥自身能力优势，在合规前提下开展风险可控、期限匹配的非标准化债权类资产投资，力争获取稳定收益。</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color w:val="000000"/>
          <w:sz w:val="24"/>
          <w:highlight w:val="none"/>
          <w:lang w:eastAsia="zh-CN"/>
        </w:rPr>
      </w:pPr>
      <w:r>
        <w:rPr>
          <w:rFonts w:hint="eastAsia" w:ascii="宋体" w:hAnsi="宋体" w:cs="宋体"/>
          <w:bCs/>
          <w:color w:val="000000"/>
          <w:sz w:val="24"/>
          <w:highlight w:val="none"/>
          <w:lang w:eastAsia="zh-CN"/>
        </w:rPr>
        <w:t>投资限制中列示的资产品种不代表管理人的实际投向，本理财计划投资范围以“投资范围”章节表述为准。</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17"/>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本理财计划投资的非标准化债权类资产到期日不得晚于理财计划到期日。</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本理财计划的总资产不得超过净资产的200%。</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lang w:eastAsia="zh-CN"/>
        </w:rPr>
        <w:t>拟</w:t>
      </w:r>
      <w:r>
        <w:rPr>
          <w:rFonts w:hint="eastAsia" w:ascii="宋体" w:hAnsi="宋体" w:cs="宋体"/>
          <w:b/>
          <w:bCs w:val="0"/>
          <w:sz w:val="24"/>
          <w:highlight w:val="none"/>
          <w:lang w:eastAsia="zh-CN"/>
        </w:rPr>
        <w:t>投资市场、资产的流动性风险评估</w:t>
      </w:r>
    </w:p>
    <w:p>
      <w:pPr>
        <w:numPr>
          <w:ilvl w:val="0"/>
          <w:numId w:val="0"/>
        </w:numPr>
        <w:spacing w:line="360" w:lineRule="auto"/>
        <w:ind w:left="420" w:leftChars="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托管人</w:t>
      </w:r>
    </w:p>
    <w:tbl>
      <w:tblPr>
        <w:tblStyle w:val="8"/>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Cs w:val="21"/>
                <w:highlight w:val="none"/>
              </w:rPr>
            </w:pPr>
            <w:r>
              <w:rPr>
                <w:rFonts w:hint="default"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eastAsia="宋体" w:cs="宋体"/>
                <w:bCs/>
                <w:szCs w:val="21"/>
                <w:highlight w:val="none"/>
                <w:lang w:val="en-US" w:eastAsia="zh-CN"/>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2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销售机构</w:t>
      </w:r>
    </w:p>
    <w:tbl>
      <w:tblPr>
        <w:tblStyle w:val="8"/>
        <w:tblW w:w="7517" w:type="dxa"/>
        <w:tblInd w:w="3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1626"/>
        <w:gridCol w:w="1225"/>
        <w:gridCol w:w="3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300" w:hRule="atLeast"/>
        </w:trPr>
        <w:tc>
          <w:tcPr>
            <w:tcW w:w="930" w:type="dxa"/>
            <w:vMerge w:val="restart"/>
            <w:tcBorders>
              <w:top w:val="single" w:color="auto" w:sz="4" w:space="0"/>
              <w:left w:val="single" w:color="auto"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销售机构信息</w:t>
            </w: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杭州银行股份有限公司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kern w:val="2"/>
                <w:sz w:val="21"/>
                <w:szCs w:val="21"/>
                <w:lang w:val="en-US" w:eastAsia="zh-CN" w:bidi="ar"/>
              </w:rPr>
              <w:t>浙江省杭州市上城区解放东路168号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95398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苏州银行股份有限公司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江苏省苏州工业园区钟园路728号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96067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厦门银行股份有限公司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福建省厦门市思明区湖滨北路101号商业银行大厦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400-858-8888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中信银行股份有限公司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北京市朝阳区光华路10号院1号楼6-30层、32-42层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95558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齐鲁银行股份有限公司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山东省济南市历下区经十路10817号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400-609-6588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甘肃银行股份有限公司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甘肃省兰州市城关区东岗西路525—1号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4008696666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杭银理财有限责任公司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浙江省杭州市拱墅区庆春路38号金龙财富中心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400-8950-999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绍兴银行股份有限公司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浙江省绍兴市越城区中兴南路1号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4000896528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浙江萧山农村商业银行股份有限公司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浙江省杭州市萧山区城厢街道人民路258号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4008896596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海南银行股份有限公司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海南省海口市龙华区海秀东路31号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0898-96566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秦皇岛银行股份有限公司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河北省秦皇岛市海港区河北大街西段560号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0335-96336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温州银行股份有限公司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浙江省温州市鹿城区会展路1316号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0577-96699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中邮邮惠万家银行有限责任公司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上海市虹口区东大名路1080号25层、26层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95504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大连农村商业银行股份有限公司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辽宁省大连经济技术开发区五彩城A区1栋-A1号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96689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吉林银行股份有限公司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经济开发区东南湖大路1817号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400-88-96666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福建海峡银行股份有限公司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福建省福州市台江区江滨中大道358号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400-893-9999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兰州银行股份有限公司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甘肃省兰州市酒泉路211号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400-88-96799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厦门农村商业银行股份有限公司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中国(福建)自由贸易试验区厦门片区东港北路31号(1层、17层、19层、27-28层、30-31层)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40083-96336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汉口银行股份有限公司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湖北省武汉市江汉区建设大道933号武汉商业银行大厦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400-609-6558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35" w:hRule="atLeast"/>
        </w:trPr>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销售机构职责</w:t>
            </w:r>
          </w:p>
        </w:tc>
        <w:tc>
          <w:tcPr>
            <w:tcW w:w="6587" w:type="dxa"/>
            <w:gridSpan w:val="3"/>
            <w:tcBorders>
              <w:top w:val="single" w:color="000000"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估值</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w:t>
      </w:r>
      <w:r>
        <w:rPr>
          <w:rFonts w:hint="eastAsia" w:ascii="宋体" w:hAnsi="宋体" w:cs="宋体"/>
          <w:bCs/>
          <w:color w:val="000000"/>
          <w:sz w:val="24"/>
          <w:highlight w:val="none"/>
        </w:rPr>
        <w:t>日，定期由理财管理人和理财托管人核对估值结果并向投资者披露，具体日期以管理人公告为准。</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7"/>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以收取</w:t>
      </w:r>
      <w:r>
        <w:rPr>
          <w:rFonts w:hint="eastAsia" w:ascii="宋体" w:hAnsi="宋体" w:cs="宋体"/>
          <w:bCs/>
          <w:color w:val="000000"/>
          <w:sz w:val="24"/>
          <w:highlight w:val="none"/>
        </w:rPr>
        <w:t>合同现金流量为目的并持有到期的债券及同业存单类资产，按摊余成本法进行计量。其余债券及同业存单类资产，按市价法估值。市价法不能确定公允价值的，采用估值技术进行估值。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rPr>
          <w:rFonts w:ascii="宋体" w:hAnsi="宋体" w:cs="宋体"/>
          <w:bCs/>
          <w:color w:val="000000"/>
          <w:sz w:val="24"/>
          <w:highlight w:val="none"/>
        </w:rPr>
      </w:pPr>
      <w:r>
        <w:rPr>
          <w:rFonts w:hint="eastAsia" w:ascii="宋体" w:hAnsi="宋体" w:cs="宋体"/>
          <w:bCs/>
          <w:color w:val="000000"/>
          <w:sz w:val="24"/>
          <w:highlight w:val="none"/>
          <w:lang w:val="en-US" w:eastAsia="zh-CN"/>
        </w:rPr>
        <w:t xml:space="preserve">    对于</w:t>
      </w:r>
      <w:r>
        <w:rPr>
          <w:rFonts w:hint="eastAsia" w:ascii="宋体" w:hAnsi="宋体" w:cs="宋体"/>
          <w:bCs/>
          <w:color w:val="000000"/>
          <w:sz w:val="24"/>
          <w:highlight w:val="none"/>
        </w:rPr>
        <w:t>符合监管要求的债权类资产，按照摊余成本法进行计量。其余债权类资产，按市价法估值。市价法不能确定其公允价值的，采用估值技术进行估值。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rPr>
          <w:rFonts w:hint="eastAsia" w:ascii="宋体" w:hAnsi="宋体"/>
          <w:sz w:val="24"/>
          <w:highlight w:val="none"/>
        </w:rPr>
      </w:pPr>
      <w:r>
        <w:rPr>
          <w:rFonts w:hint="eastAsia" w:ascii="宋体" w:hAnsi="宋体" w:cs="宋体"/>
          <w:bCs/>
          <w:color w:val="000000"/>
          <w:sz w:val="24"/>
          <w:highlight w:val="none"/>
          <w:lang w:val="en-US" w:eastAsia="zh-CN"/>
        </w:rPr>
        <w:t xml:space="preserve">      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3）</w:t>
      </w:r>
      <w:r>
        <w:rPr>
          <w:rFonts w:hint="eastAsia" w:ascii="宋体" w:hAnsi="宋体"/>
          <w:sz w:val="24"/>
          <w:highlight w:val="none"/>
        </w:rPr>
        <w:t>首次发行未上市的股票，按发行价格进行估值；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4）</w:t>
      </w:r>
      <w:r>
        <w:rPr>
          <w:rFonts w:hint="eastAsia" w:ascii="宋体" w:hAnsi="宋体"/>
          <w:sz w:val="24"/>
          <w:highlight w:val="none"/>
        </w:rPr>
        <w:t>因持有股票而享有的配股权，采用估值技术确定公允价值。</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7"/>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2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2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25"/>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费用及税收</w:t>
      </w:r>
    </w:p>
    <w:p>
      <w:pPr>
        <w:numPr>
          <w:ilvl w:val="0"/>
          <w:numId w:val="26"/>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、托管费、固定管理费、认购费、浮动管理费以及理财计划运作和清算中产生的其他费用等。</w:t>
      </w:r>
    </w:p>
    <w:p>
      <w:pPr>
        <w:numPr>
          <w:ilvl w:val="0"/>
          <w:numId w:val="26"/>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000000"/>
          <w:kern w:val="2"/>
          <w:position w:val="-1"/>
          <w:sz w:val="24"/>
          <w:u w:val="none"/>
          <w:vertAlign w:val="baseline"/>
        </w:rPr>
        <w:t>理财计划财产分为每日计提销售服务费的〖A份额〗、〖B份额〗、〖C份额〗、〖D份额〗、〖E份额〗、〖F份额〗、〖H份额〗、〖I份额〗、〖M份额〗、〖P份额〗、〖Q份额〗、〖R份额〗和销售服务费于产品成立日一次性收取的〖N份额〗、〖W份额〗、〖Y份额〗、〖Z份额〗。A份额的年化销售服务费率为〖0.30%〗, B份额的年化销售服务费率为〖0.20%〗, C份额的年化销售服务费率为〖0.10%〗, D份额的年化销售服务费率为〖0.15%〗, E份额的年化销售服务费率为〖0.20%〗, F份额的年化销售服务费率为〖0.15%〗, H份额的年化销售服务费率为〖0.01%〗, I份额的年化销售服务费率为〖0.30%〗, M份额的年化销售服务费率为〖0.15%〗, N份额的年化销售服务费率为〖0.20%〗, P份额的年化销售服务费率为〖0.15%〗, Q份额的年化销售服务费率为〖0.05%〗, R份额的年化销售服务费率为〖0.15%〗, W份额的年化销售服务费率为〖0.30%〗, Y份额的年化销售服务费率为〖0.20%〗, Z份额的年化销售服务费率为〖0.10%〗。两种计算方法如下：</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（1）销售费按日计提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H1＝E1×〖0.30%〗÷365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H1为〖A份额〗每日应计提的销售服务费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E1为〖A份额〗前一日资产净值</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销售服务费原则上按日计提。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（2）销售费一次性收取</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H2＝E2×〖0.20%〗×P÷365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H2为〖N份额〗应计提的销售服务费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E2为〖N份额〗成立日产品份额</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P为产品投资期限天数</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销售服务费于产品成立日一次性收取，每日摊销。</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color w:val="000000"/>
          <w:sz w:val="24"/>
          <w:szCs w:val="24"/>
          <w:highlight w:val="none"/>
          <w:lang w:eastAsia="zh"/>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bCs/>
          <w:color w:val="000000"/>
          <w:kern w:val="2"/>
          <w:sz w:val="24"/>
          <w:szCs w:val="24"/>
          <w:highlight w:val="none"/>
          <w:lang w:val="en-US" w:eastAsia="zh-CN" w:bidi="ar-SA"/>
        </w:rPr>
        <w:t>A份额的年化固定管理费率为〖0.10%〗, B份额的年化固定管理费率为〖0.10%〗, C份额的年化固定管理费率为〖0.10%〗, D份额的年化固定管理费率为〖0.10%〗, E份额的年化固定管理费率为〖0.10%〗, F份额的年化固定管理费率为〖0.10%〗, H份额的年化固定管理费率为〖0.04%〗, I份额的年化固定管理费率为〖0.10%〗, M份额的年化固定管理费率为〖0.10%〗, N份额的年化固定管理费率为〖0.10%〗, P份额的年化固定管理费率为〖0.10%〗, Q份额的年化固定管理费率为〖0.05%〗, R份额的年化固定管理费率为〖0.10%〗, W份额的年化固定管理费率为〖0.10%〗, Y份额的年化固定管理费率为〖0.10%〗, Z份额的年化固定管理费率为〖0.10%〗, 以〖A份额〗</w:t>
      </w:r>
      <w:r>
        <w:rPr>
          <w:rFonts w:hint="eastAsia" w:ascii="宋体" w:hAnsi="宋体" w:cs="宋体"/>
          <w:bCs/>
          <w:color w:val="000000"/>
          <w:sz w:val="24"/>
          <w:highlight w:val="none"/>
        </w:rPr>
        <w:t>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0.10</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w:t>
      </w:r>
      <w:r>
        <w:rPr>
          <w:rFonts w:hint="eastAsia" w:ascii="宋体" w:hAnsi="宋体" w:cs="宋体"/>
          <w:bCs/>
          <w:color w:val="000000"/>
          <w:sz w:val="24"/>
          <w:highlight w:val="none"/>
          <w:lang w:eastAsia="zh-CN"/>
        </w:rPr>
        <w:t>固定</w:t>
      </w:r>
      <w:r>
        <w:rPr>
          <w:rFonts w:hint="eastAsia" w:ascii="宋体" w:hAnsi="宋体" w:cs="宋体"/>
          <w:bCs/>
          <w:color w:val="000000"/>
          <w:sz w:val="24"/>
          <w:highlight w:val="none"/>
        </w:rPr>
        <w:t>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eastAsia="宋体" w:cs="宋体"/>
          <w:bCs/>
          <w:color w:val="FF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，管理人有权</w:t>
      </w:r>
      <w:r>
        <w:rPr>
          <w:rFonts w:hint="eastAsia" w:ascii="宋体" w:hAnsi="宋体" w:cs="宋体"/>
          <w:bCs/>
          <w:color w:val="000000"/>
          <w:sz w:val="24"/>
          <w:highlight w:val="none"/>
          <w:lang w:val="en-US" w:eastAsia="zh-CN"/>
        </w:rPr>
        <w:t>根据实际运作情况</w:t>
      </w:r>
      <w:r>
        <w:rPr>
          <w:rFonts w:hint="eastAsia" w:ascii="宋体" w:hAnsi="宋体" w:cs="宋体"/>
          <w:bCs/>
          <w:color w:val="000000"/>
          <w:sz w:val="24"/>
          <w:highlight w:val="none"/>
          <w:lang w:eastAsia="zh-CN"/>
        </w:rPr>
        <w:t>减免固定管理费</w:t>
      </w:r>
      <w:r>
        <w:rPr>
          <w:rFonts w:hint="eastAsia"/>
          <w:color w:val="000000"/>
          <w:lang w:eastAsia="zh"/>
        </w:rPr>
        <w:t>。</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本理财计划免除认购费。</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理财管理人根据理财计划投资情况计算浮动管理费，浮动管理费原则上按估值日计提，到期收取。以〖A份额〗为例，具体计算方法如下：</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（1）若本理财计划到期日（提前终止日）的折合年化收益率超过业绩比较基准下限但未达到业绩比较基准上限，则超过业绩比较基准下限的部分管理人收取〖50%〗作为浮动管理费，即：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若本理财计划到期日（提前终止日）的折合年化收益率超过业绩比较基准上限，则〖业绩比较基准下限(含)至上限(含)〗的部分管理人收取〖50%〗作为浮动管理费，超过〖业绩比较基准上限〗的部分管理人收取〖80%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H=E×NAV0×[(K-R)×〖80%〗+(R-S)×〖50%〗]×N÷365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H为理财计划到期（提前终止）时应收取浮动管理费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E为投资者持有份额</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K为收取浮动管理费前投资者持有份额对应持有区间折合年化收益率</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NAV0为理财计划成立日之初的单位净值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NAV1为理财计划到期日未扣除浮动管理费前的单位净值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R为理财计划业绩比较基准上限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S为理财计划业绩比较基准下限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N为理财计划份额成立日（含）至估值日（含）的区间天数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T为理财计划运作期间每单位份额的实际分红金额合计（如有）</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jc w:val="left"/>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29"/>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税收说明</w:t>
      </w:r>
    </w:p>
    <w:p>
      <w:pPr>
        <w:numPr>
          <w:ilvl w:val="0"/>
          <w:numId w:val="30"/>
        </w:numPr>
        <w:spacing w:line="360" w:lineRule="auto"/>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0"/>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0"/>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收益计算</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投资者理财收益＝认购份额×到期日（提前终止日）单位净值+份额持有期间累计分红-认购金额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认购份额=认购金额</w:t>
      </w:r>
      <w:r>
        <w:rPr>
          <w:rFonts w:hint="eastAsia" w:ascii="宋体" w:hAnsi="宋体" w:cs="宋体"/>
          <w:bCs/>
          <w:color w:val="000000"/>
          <w:sz w:val="24"/>
          <w:szCs w:val="24"/>
          <w:highlight w:val="none"/>
        </w:rPr>
        <w:t>÷</w:t>
      </w:r>
      <w:r>
        <w:rPr>
          <w:rFonts w:hint="eastAsia" w:ascii="宋体" w:hAnsi="宋体" w:cs="宋体"/>
          <w:bCs/>
          <w:color w:val="000000"/>
          <w:sz w:val="24"/>
          <w:highlight w:val="none"/>
        </w:rPr>
        <w:t>1元。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到期日（提前终止日）单位净值为提取相关费用及税费后的单位理财计划份额净值。</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示例说明</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1.0615，此时，(1.0615÷1.0000-1)×365÷362=6.20%&gt;5.00%，即在〖4.00%-5.00%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%作为浮动管理费，超过〖5.00%〗部分的投资收益管理人收取</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100,000×1.0000×{[（1.0615÷1.0000-1）×365÷362-5.00%]×</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%+(5.00%-4.00%)×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 4,</w:t>
      </w:r>
      <w:r>
        <w:rPr>
          <w:rFonts w:hint="eastAsia" w:ascii="宋体" w:hAnsi="宋体" w:cs="宋体"/>
          <w:color w:val="000000"/>
          <w:kern w:val="2"/>
          <w:sz w:val="24"/>
          <w:szCs w:val="24"/>
          <w:lang w:val="en-US" w:eastAsia="zh" w:bidi="ar"/>
        </w:rPr>
        <w:t>701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23</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扣除托管费、固定管理费、销售服务费（如有）后，投资收益率超过业绩比较基准下限，但未达到业绩比较基准上限。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1.0415，此时，(1.0415÷1.0000-1)×365÷362=4.18%，即投资收益超过〖4.00%〗但未达到〖5.00%〗，则超过〖4.00%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100,000.00×1.0000×[(1.0415÷1.0000-1)×365÷362-4.00%]×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100,000.00×（1.0415-1.0000）-</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 xml:space="preserve"> =4,0</w:t>
      </w:r>
      <w:r>
        <w:rPr>
          <w:rFonts w:hint="eastAsia" w:ascii="宋体" w:hAnsi="宋体" w:cs="宋体"/>
          <w:color w:val="000000"/>
          <w:kern w:val="2"/>
          <w:sz w:val="24"/>
          <w:szCs w:val="24"/>
          <w:lang w:val="en-US" w:eastAsia="zh" w:bidi="ar"/>
        </w:rPr>
        <w:t>58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56</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1.0362，此时，(1.0362÷1.0000-1)×365÷362=3.65%&lt;4.00%，即投资收益未达到〖4.00%〗，则投资管理人不收取浮动管理费，投资者最终收益为：100,000.00×(1.0365-1.0000）=3,650.00（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示例四</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元，折算份额为100,000.00份，假设份额成立日（含）至估值日（含）的区间天数为362天,业绩比较基准为4.00%-5.00%。假设理财产品到期时扣除托管费、固定管理费、销售服务费（如有）后，如理财计划未扣除浮动管理费前的净值为0.9975，则投资管理人不收取浮动管理费，投资者最终收益为：100,000.00×（0.9975-1.0000）=-250.00（元）。</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交易规则</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认购</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成立</w:t>
      </w:r>
    </w:p>
    <w:p>
      <w:pPr>
        <w:numPr>
          <w:ilvl w:val="0"/>
          <w:numId w:val="3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35"/>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申购及赎回</w:t>
      </w:r>
    </w:p>
    <w:p>
      <w:pPr>
        <w:spacing w:line="360" w:lineRule="auto"/>
        <w:ind w:firstLine="480" w:firstLineChars="200"/>
        <w:jc w:val="left"/>
        <w:rPr>
          <w:rFonts w:ascii="宋体" w:hAnsi="宋体" w:cs="宋体"/>
          <w:b/>
          <w:sz w:val="24"/>
          <w:highlight w:val="none"/>
        </w:rPr>
      </w:pPr>
      <w:r>
        <w:rPr>
          <w:rFonts w:hint="eastAsia" w:ascii="宋体" w:hAnsi="宋体" w:cs="宋体"/>
          <w:bCs/>
          <w:sz w:val="24"/>
          <w:highlight w:val="none"/>
        </w:rPr>
        <w:t>本理财计划封闭式运作，存续期间不开放申购和赎回。</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到期清算</w:t>
      </w:r>
    </w:p>
    <w:p>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kern w:val="2"/>
          <w:sz w:val="24"/>
          <w:szCs w:val="24"/>
          <w:lang w:val="en-US" w:eastAsia="zh-CN" w:bidi="ar"/>
        </w:rPr>
        <w:t>〖1〗个〖工作日〗</w:t>
      </w:r>
      <w:r>
        <w:rPr>
          <w:rFonts w:hint="eastAsia" w:ascii="宋体" w:hAnsi="宋体" w:cs="宋体"/>
          <w:bCs/>
          <w:sz w:val="24"/>
          <w:highlight w:val="none"/>
        </w:rPr>
        <w:t>、最晚</w:t>
      </w:r>
      <w:r>
        <w:rPr>
          <w:rFonts w:hint="eastAsia" w:ascii="宋体" w:hAnsi="宋体" w:eastAsia="宋体" w:cs="宋体"/>
          <w:kern w:val="2"/>
          <w:sz w:val="24"/>
          <w:szCs w:val="24"/>
          <w:lang w:val="en-US" w:eastAsia="zh-CN" w:bidi="ar"/>
        </w:rPr>
        <w:t>〖3〗个〖工作日〗</w:t>
      </w:r>
      <w:r>
        <w:rPr>
          <w:rFonts w:hint="eastAsia" w:ascii="宋体" w:hAnsi="宋体" w:cs="宋体"/>
          <w:bCs/>
          <w:sz w:val="24"/>
          <w:highlight w:val="none"/>
        </w:rPr>
        <w:t>内（遇节假日顺延）将资金按规定的要求划入投资者授权指定的理财账户。（具体以销售机构规定为准）</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color w:val="000000"/>
          <w:sz w:val="24"/>
          <w:highlight w:val="none"/>
        </w:rPr>
        <w:t>2〗</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3</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信息披露</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4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4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41"/>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理财计划净值：管理人应在理财计划成立后，每周披露一次净值。</w:t>
      </w:r>
    </w:p>
    <w:p>
      <w:pPr>
        <w:numPr>
          <w:ilvl w:val="0"/>
          <w:numId w:val="4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4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4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rPr>
        <w:t>应在发生可能对理财计划投资者或者理财计划收益产生重大事项的事件后2个工作日内发布重大事项公告。</w:t>
      </w:r>
    </w:p>
    <w:p>
      <w:pPr>
        <w:numPr>
          <w:ilvl w:val="0"/>
          <w:numId w:val="42"/>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其他</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43"/>
        </w:numPr>
        <w:tabs>
          <w:tab w:val="left" w:pos="6090"/>
        </w:tabs>
        <w:spacing w:line="360" w:lineRule="auto"/>
        <w:jc w:val="left"/>
        <w:outlineLvl w:val="2"/>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1">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2">
    <w:nsid w:val="8906C252"/>
    <w:multiLevelType w:val="singleLevel"/>
    <w:tmpl w:val="8906C252"/>
    <w:lvl w:ilvl="0" w:tentative="0">
      <w:start w:val="1"/>
      <w:numFmt w:val="decimal"/>
      <w:suff w:val="nothing"/>
      <w:lvlText w:val="（%1）"/>
      <w:lvlJc w:val="left"/>
      <w:rPr>
        <w:rFonts w:hint="default"/>
        <w:b w:val="0"/>
        <w:bCs w:val="0"/>
      </w:rPr>
    </w:lvl>
  </w:abstractNum>
  <w:abstractNum w:abstractNumId="3">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4">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6">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7">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8">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9">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0">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1">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2">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3">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4">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5">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16">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17">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18">
    <w:nsid w:val="D8D75090"/>
    <w:multiLevelType w:val="singleLevel"/>
    <w:tmpl w:val="D8D75090"/>
    <w:lvl w:ilvl="0" w:tentative="0">
      <w:start w:val="1"/>
      <w:numFmt w:val="decimal"/>
      <w:suff w:val="nothing"/>
      <w:lvlText w:val="（%1）"/>
      <w:lvlJc w:val="left"/>
      <w:rPr>
        <w:rFonts w:hint="default"/>
        <w:b w:val="0"/>
        <w:bCs w:val="0"/>
      </w:rPr>
    </w:lvl>
  </w:abstractNum>
  <w:abstractNum w:abstractNumId="19">
    <w:nsid w:val="DD2251DF"/>
    <w:multiLevelType w:val="singleLevel"/>
    <w:tmpl w:val="DD2251DF"/>
    <w:lvl w:ilvl="0" w:tentative="0">
      <w:start w:val="1"/>
      <w:numFmt w:val="decimal"/>
      <w:suff w:val="nothing"/>
      <w:lvlText w:val="（%1）"/>
      <w:lvlJc w:val="left"/>
      <w:rPr>
        <w:rFonts w:hint="default"/>
        <w:b w:val="0"/>
        <w:bCs w:val="0"/>
      </w:rPr>
    </w:lvl>
  </w:abstractNum>
  <w:abstractNum w:abstractNumId="20">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1">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2">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3">
    <w:nsid w:val="F574F5B6"/>
    <w:multiLevelType w:val="singleLevel"/>
    <w:tmpl w:val="F574F5B6"/>
    <w:lvl w:ilvl="0" w:tentative="0">
      <w:start w:val="1"/>
      <w:numFmt w:val="decimal"/>
      <w:suff w:val="nothing"/>
      <w:lvlText w:val="（%1）"/>
      <w:lvlJc w:val="left"/>
    </w:lvl>
  </w:abstractNum>
  <w:abstractNum w:abstractNumId="24">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25">
    <w:nsid w:val="FE7FCF71"/>
    <w:multiLevelType w:val="multilevel"/>
    <w:tmpl w:val="FE7FCF7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6">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27">
    <w:nsid w:val="084A6179"/>
    <w:multiLevelType w:val="singleLevel"/>
    <w:tmpl w:val="084A6179"/>
    <w:lvl w:ilvl="0" w:tentative="0">
      <w:start w:val="1"/>
      <w:numFmt w:val="decimal"/>
      <w:suff w:val="nothing"/>
      <w:lvlText w:val="（%1）"/>
      <w:lvlJc w:val="left"/>
      <w:rPr>
        <w:rFonts w:hint="default"/>
        <w:highlight w:val="none"/>
      </w:rPr>
    </w:lvl>
  </w:abstractNum>
  <w:abstractNum w:abstractNumId="28">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29">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0">
    <w:nsid w:val="167B0BB4"/>
    <w:multiLevelType w:val="singleLevel"/>
    <w:tmpl w:val="167B0BB4"/>
    <w:lvl w:ilvl="0" w:tentative="0">
      <w:start w:val="1"/>
      <w:numFmt w:val="decimal"/>
      <w:suff w:val="nothing"/>
      <w:lvlText w:val="（%1）"/>
      <w:lvlJc w:val="left"/>
    </w:lvl>
  </w:abstractNum>
  <w:abstractNum w:abstractNumId="31">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2">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33">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34">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35">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36">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37">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38">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39">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0">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41">
    <w:nsid w:val="68F6C37C"/>
    <w:multiLevelType w:val="singleLevel"/>
    <w:tmpl w:val="68F6C37C"/>
    <w:lvl w:ilvl="0" w:tentative="0">
      <w:start w:val="1"/>
      <w:numFmt w:val="decimal"/>
      <w:lvlText w:val="%1."/>
      <w:lvlJc w:val="left"/>
      <w:pPr>
        <w:tabs>
          <w:tab w:val="left" w:pos="312"/>
        </w:tabs>
      </w:pPr>
      <w:rPr>
        <w:rFonts w:hint="default"/>
        <w:highlight w:val="none"/>
      </w:rPr>
    </w:lvl>
  </w:abstractNum>
  <w:abstractNum w:abstractNumId="42">
    <w:nsid w:val="6BA7AFBC"/>
    <w:multiLevelType w:val="singleLevel"/>
    <w:tmpl w:val="6BA7AFBC"/>
    <w:lvl w:ilvl="0" w:tentative="0">
      <w:start w:val="1"/>
      <w:numFmt w:val="chineseCounting"/>
      <w:suff w:val="nothing"/>
      <w:lvlText w:val="（%1）"/>
      <w:lvlJc w:val="left"/>
      <w:pPr>
        <w:ind w:left="0" w:firstLine="420"/>
      </w:pPr>
      <w:rPr>
        <w:rFonts w:hint="eastAsia"/>
      </w:rPr>
    </w:lvl>
  </w:abstractNum>
  <w:num w:numId="1">
    <w:abstractNumId w:val="39"/>
  </w:num>
  <w:num w:numId="2">
    <w:abstractNumId w:val="36"/>
  </w:num>
  <w:num w:numId="3">
    <w:abstractNumId w:val="24"/>
  </w:num>
  <w:num w:numId="4">
    <w:abstractNumId w:val="22"/>
  </w:num>
  <w:num w:numId="5">
    <w:abstractNumId w:val="28"/>
  </w:num>
  <w:num w:numId="6">
    <w:abstractNumId w:val="21"/>
  </w:num>
  <w:num w:numId="7">
    <w:abstractNumId w:val="16"/>
  </w:num>
  <w:num w:numId="8">
    <w:abstractNumId w:val="10"/>
  </w:num>
  <w:num w:numId="9">
    <w:abstractNumId w:val="13"/>
  </w:num>
  <w:num w:numId="10">
    <w:abstractNumId w:val="7"/>
  </w:num>
  <w:num w:numId="11">
    <w:abstractNumId w:val="8"/>
  </w:num>
  <w:num w:numId="12">
    <w:abstractNumId w:val="6"/>
  </w:num>
  <w:num w:numId="13">
    <w:abstractNumId w:val="41"/>
  </w:num>
  <w:num w:numId="14">
    <w:abstractNumId w:val="4"/>
  </w:num>
  <w:num w:numId="15">
    <w:abstractNumId w:val="0"/>
  </w:num>
  <w:num w:numId="16">
    <w:abstractNumId w:val="35"/>
  </w:num>
  <w:num w:numId="17">
    <w:abstractNumId w:val="23"/>
  </w:num>
  <w:num w:numId="18">
    <w:abstractNumId w:val="15"/>
  </w:num>
  <w:num w:numId="19">
    <w:abstractNumId w:val="32"/>
  </w:num>
  <w:num w:numId="20">
    <w:abstractNumId w:val="17"/>
  </w:num>
  <w:num w:numId="21">
    <w:abstractNumId w:val="5"/>
  </w:num>
  <w:num w:numId="22">
    <w:abstractNumId w:val="38"/>
  </w:num>
  <w:num w:numId="23">
    <w:abstractNumId w:val="3"/>
  </w:num>
  <w:num w:numId="24">
    <w:abstractNumId w:val="27"/>
  </w:num>
  <w:num w:numId="25">
    <w:abstractNumId w:val="31"/>
  </w:num>
  <w:num w:numId="26">
    <w:abstractNumId w:val="42"/>
  </w:num>
  <w:num w:numId="27">
    <w:abstractNumId w:val="26"/>
  </w:num>
  <w:num w:numId="28">
    <w:abstractNumId w:val="19"/>
  </w:num>
  <w:num w:numId="29">
    <w:abstractNumId w:val="34"/>
  </w:num>
  <w:num w:numId="30">
    <w:abstractNumId w:val="1"/>
  </w:num>
  <w:num w:numId="31">
    <w:abstractNumId w:val="20"/>
  </w:num>
  <w:num w:numId="32">
    <w:abstractNumId w:val="25"/>
  </w:num>
  <w:num w:numId="33">
    <w:abstractNumId w:val="37"/>
  </w:num>
  <w:num w:numId="34">
    <w:abstractNumId w:val="29"/>
  </w:num>
  <w:num w:numId="35">
    <w:abstractNumId w:val="14"/>
  </w:num>
  <w:num w:numId="36">
    <w:abstractNumId w:val="40"/>
  </w:num>
  <w:num w:numId="37">
    <w:abstractNumId w:val="11"/>
  </w:num>
  <w:num w:numId="38">
    <w:abstractNumId w:val="9"/>
  </w:num>
  <w:num w:numId="39">
    <w:abstractNumId w:val="12"/>
  </w:num>
  <w:num w:numId="40">
    <w:abstractNumId w:val="30"/>
  </w:num>
  <w:num w:numId="41">
    <w:abstractNumId w:val="18"/>
  </w:num>
  <w:num w:numId="42">
    <w:abstractNumId w:val="2"/>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3B662B3"/>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5D33E6"/>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FD5D01"/>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9FF190B"/>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6E459E8"/>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FC9A3F"/>
    <w:rsid w:val="751974A1"/>
    <w:rsid w:val="758B30E4"/>
    <w:rsid w:val="75F42331"/>
    <w:rsid w:val="761F7C3C"/>
    <w:rsid w:val="762C62B5"/>
    <w:rsid w:val="76683D2A"/>
    <w:rsid w:val="76C62D9E"/>
    <w:rsid w:val="78244617"/>
    <w:rsid w:val="7A923507"/>
    <w:rsid w:val="7AAFF850"/>
    <w:rsid w:val="7ACB640D"/>
    <w:rsid w:val="7BFF1A29"/>
    <w:rsid w:val="7C044D89"/>
    <w:rsid w:val="7C63442B"/>
    <w:rsid w:val="7D3AA22F"/>
    <w:rsid w:val="7D9F2F3F"/>
    <w:rsid w:val="7DE35ECA"/>
    <w:rsid w:val="7E1A0C5A"/>
    <w:rsid w:val="7E3212D3"/>
    <w:rsid w:val="7E7F7BE9"/>
    <w:rsid w:val="7F5F887D"/>
    <w:rsid w:val="7F9FC635"/>
    <w:rsid w:val="7FCC7D05"/>
    <w:rsid w:val="7FEF42B8"/>
    <w:rsid w:val="7FEFE414"/>
    <w:rsid w:val="9FD01BC3"/>
    <w:rsid w:val="9FDF7357"/>
    <w:rsid w:val="B3FE25BF"/>
    <w:rsid w:val="BE6E0F8F"/>
    <w:rsid w:val="C679D4D5"/>
    <w:rsid w:val="C7EFAC2C"/>
    <w:rsid w:val="CFBD1285"/>
    <w:rsid w:val="D3FFF2E3"/>
    <w:rsid w:val="D4B948F0"/>
    <w:rsid w:val="D7BE90C3"/>
    <w:rsid w:val="DFFBF81E"/>
    <w:rsid w:val="E2F2C526"/>
    <w:rsid w:val="E7F7B356"/>
    <w:rsid w:val="F3F331A4"/>
    <w:rsid w:val="F3FF81F7"/>
    <w:rsid w:val="F6D74091"/>
    <w:rsid w:val="F7FE62B6"/>
    <w:rsid w:val="F9BED6AE"/>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20"/>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uiPriority w:val="0"/>
    <w:rPr>
      <w:sz w:val="21"/>
      <w:szCs w:val="21"/>
    </w:rPr>
  </w:style>
  <w:style w:type="character" w:customStyle="1" w:styleId="13">
    <w:name w:val="批注文字 字符"/>
    <w:link w:val="2"/>
    <w:uiPriority w:val="0"/>
    <w:rPr>
      <w:rFonts w:ascii="Calibri" w:hAnsi="Calibri" w:cs="黑体"/>
      <w:kern w:val="2"/>
      <w:sz w:val="21"/>
      <w:szCs w:val="24"/>
    </w:rPr>
  </w:style>
  <w:style w:type="character" w:customStyle="1" w:styleId="14">
    <w:name w:val="批注框文本 字符"/>
    <w:link w:val="3"/>
    <w:uiPriority w:val="0"/>
    <w:rPr>
      <w:rFonts w:ascii="Calibri" w:hAnsi="Calibri" w:cs="黑体"/>
      <w:kern w:val="2"/>
      <w:sz w:val="18"/>
      <w:szCs w:val="18"/>
    </w:rPr>
  </w:style>
  <w:style w:type="character" w:customStyle="1" w:styleId="15">
    <w:name w:val="批注主题 字符"/>
    <w:link w:val="7"/>
    <w:uiPriority w:val="0"/>
    <w:rPr>
      <w:rFonts w:ascii="Calibri" w:hAnsi="Calibri" w:cs="黑体"/>
      <w:b/>
      <w:bCs/>
      <w:kern w:val="2"/>
      <w:sz w:val="21"/>
      <w:szCs w:val="24"/>
    </w:rPr>
  </w:style>
  <w:style w:type="paragraph" w:customStyle="1" w:styleId="16">
    <w:name w:val="List Paragraph"/>
    <w:basedOn w:val="1"/>
    <w:unhideWhenUsed/>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uiPriority w:val="0"/>
    <w:rPr>
      <w:rFonts w:ascii="Calibri" w:hAnsi="Calibri" w:cs="黑体"/>
      <w:kern w:val="2"/>
      <w:sz w:val="21"/>
      <w:szCs w:val="24"/>
    </w:rPr>
  </w:style>
  <w:style w:type="character" w:customStyle="1" w:styleId="19">
    <w:name w:val="批注主题 Char"/>
    <w:link w:val="7"/>
    <w:uiPriority w:val="0"/>
    <w:rPr>
      <w:rFonts w:ascii="Calibri" w:hAnsi="Calibri" w:cs="黑体"/>
      <w:b/>
      <w:bCs/>
      <w:kern w:val="2"/>
      <w:sz w:val="21"/>
      <w:szCs w:val="24"/>
    </w:rPr>
  </w:style>
  <w:style w:type="character" w:customStyle="1" w:styleId="20">
    <w:name w:val="批注框文本 Char"/>
    <w:link w:val="3"/>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Words>37041</Words>
  <Characters>39710</Characters>
  <Lines>1</Lines>
  <Paragraphs>1</Paragraphs>
  <TotalTime>2</TotalTime>
  <ScaleCrop>false</ScaleCrop>
  <LinksUpToDate>false</LinksUpToDate>
  <CharactersWithSpaces>40181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2014-11-04T12:08:00Z</dcterms:created>
  <dc:creator>Administrator</dc:creator>
  <cp:lastModifiedBy>hccb</cp:lastModifiedBy>
  <dcterms:modified xsi:type="dcterms:W3CDTF">2025-12-23T07:36:05Z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