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r>
        <w:rPr>
          <w:rFonts w:hint="eastAsia" w:ascii="华文仿宋" w:hAnsi="华文仿宋" w:eastAsia="华文仿宋" w:cs="华文仿宋"/>
          <w:b/>
          <w:bCs/>
          <w:sz w:val="32"/>
          <w:szCs w:val="32"/>
          <w:highlight w:val="none"/>
        </w:rPr>
        <w:t>渤银理财财收有略系列固定收益类六个月封闭式理财产品</w:t>
      </w:r>
      <w:r>
        <w:rPr>
          <w:rFonts w:hint="eastAsia" w:ascii="华文仿宋" w:hAnsi="华文仿宋" w:eastAsia="华文仿宋" w:cs="华文仿宋"/>
          <w:b/>
          <w:bCs/>
          <w:sz w:val="32"/>
          <w:szCs w:val="32"/>
          <w:highlight w:val="none"/>
          <w:lang w:eastAsia="zh-CN"/>
        </w:rPr>
        <w:t>2025年95号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bookmarkStart w:id="2" w:name="_GoBack"/>
      <w:bookmarkEnd w:id="2"/>
    </w:p>
    <w:p>
      <w:pPr>
        <w:pStyle w:val="10"/>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10"/>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10"/>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10"/>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长沙</w:t>
      </w:r>
      <w:r>
        <w:rPr>
          <w:rFonts w:ascii="宋体" w:hAnsi="宋体" w:eastAsia="宋体"/>
          <w:sz w:val="24"/>
          <w:szCs w:val="24"/>
          <w:highlight w:val="none"/>
        </w:rPr>
        <w:t>银行</w:t>
      </w:r>
      <w:r>
        <w:rPr>
          <w:rFonts w:hint="eastAsia" w:ascii="宋体" w:hAnsi="宋体" w:eastAsia="宋体"/>
          <w:sz w:val="24"/>
          <w:szCs w:val="24"/>
          <w:highlight w:val="none"/>
        </w:rPr>
        <w:t>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rPr>
        <w:t>渤银理财财收有略系列固定收益类六个月封闭式理财产品</w:t>
      </w:r>
      <w:r>
        <w:rPr>
          <w:rFonts w:hint="eastAsia" w:ascii="宋体" w:hAnsi="宋体" w:eastAsia="宋体"/>
          <w:sz w:val="24"/>
          <w:szCs w:val="24"/>
          <w:highlight w:val="none"/>
          <w:lang w:eastAsia="zh-CN"/>
        </w:rPr>
        <w:t>2025年95号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产品名称：渤银理财财收有略系列固定收益类六个月封闭式理财产品</w:t>
            </w:r>
            <w:r>
              <w:rPr>
                <w:rFonts w:hint="eastAsia" w:ascii="宋体" w:hAnsi="宋体" w:eastAsia="宋体"/>
                <w:sz w:val="24"/>
                <w:szCs w:val="24"/>
                <w:highlight w:val="none"/>
                <w:lang w:eastAsia="zh-CN"/>
              </w:rPr>
              <w:t>2025年95号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eastAsia="zh-CN"/>
              </w:rPr>
              <w:t>CSFB6M25095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A类份额：渤银理财财收有略六个月2025年95号A款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B类份额：财收有略六个月2025年95号B款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类份额：财收有略六个月2025年95号C款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类份额：财收有略六个月2025年95号D款（县域专属）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类份额：财收有略六个月2025年95号E款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CSFB6M25095</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CSFB6M25095</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CSFB6M25095</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CSFB6M25095</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CSFB6M25095</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yellow"/>
              </w:rPr>
            </w:pPr>
            <w:r>
              <w:rPr>
                <w:rFonts w:ascii="宋体" w:hAnsi="宋体" w:eastAsia="宋体" w:cs="宋体"/>
                <w:sz w:val="24"/>
                <w:szCs w:val="24"/>
                <w:highlight w:val="none"/>
              </w:rPr>
              <w:t>Z7008425000</w:t>
            </w:r>
            <w:r>
              <w:rPr>
                <w:rFonts w:hint="eastAsia" w:ascii="宋体" w:hAnsi="宋体" w:eastAsia="宋体" w:cs="宋体"/>
                <w:sz w:val="24"/>
                <w:szCs w:val="24"/>
                <w:highlight w:val="none"/>
                <w:lang w:val="en-US" w:eastAsia="zh-CN"/>
              </w:rPr>
              <w:t>475</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嘉兴银行股份有限公司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温州银行股份有限公司、渤海银行股份有限公司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九江银行</w:t>
            </w:r>
            <w:r>
              <w:rPr>
                <w:rFonts w:hint="eastAsia" w:ascii="宋体" w:hAnsi="宋体" w:eastAsia="宋体"/>
                <w:sz w:val="24"/>
                <w:szCs w:val="24"/>
                <w:highlight w:val="none"/>
              </w:rPr>
              <w:t>股份有限公司</w:t>
            </w:r>
            <w:r>
              <w:rPr>
                <w:rFonts w:hint="eastAsia" w:ascii="宋体" w:hAnsi="宋体" w:eastAsia="宋体"/>
                <w:sz w:val="24"/>
                <w:szCs w:val="24"/>
                <w:highlight w:val="none"/>
                <w:lang w:val="en-US" w:eastAsia="zh-CN"/>
              </w:rPr>
              <w:t>、内蒙古银行股份有限公司、山西银行股份有限公司、长沙银行股份有限公司、天津农村商业银行股份有限公司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盛京银行股份有限公司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15.2亿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3000万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5</w:t>
            </w:r>
            <w:r>
              <w:rPr>
                <w:rFonts w:ascii="宋体" w:hAnsi="宋体" w:eastAsia="宋体"/>
                <w:sz w:val="24"/>
                <w:szCs w:val="24"/>
                <w:highlight w:val="none"/>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12</w:t>
            </w:r>
            <w:r>
              <w:rPr>
                <w:rFonts w:ascii="宋体" w:hAnsi="宋体" w:eastAsia="宋体"/>
                <w:sz w:val="24"/>
                <w:szCs w:val="24"/>
                <w:highlight w:val="none"/>
              </w:rPr>
              <w:t>】日【</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13</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13</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w:t>
            </w:r>
            <w:r>
              <w:rPr>
                <w:rFonts w:ascii="宋体" w:hAnsi="宋体" w:eastAsia="宋体"/>
                <w:sz w:val="24"/>
                <w:szCs w:val="24"/>
                <w:highlight w:val="none"/>
              </w:rPr>
              <w:t>】年【</w:t>
            </w:r>
            <w:r>
              <w:rPr>
                <w:rFonts w:hint="eastAsia" w:ascii="宋体" w:hAnsi="宋体" w:eastAsia="宋体"/>
                <w:sz w:val="24"/>
                <w:szCs w:val="24"/>
                <w:highlight w:val="none"/>
                <w:lang w:val="en-US" w:eastAsia="zh-CN"/>
              </w:rPr>
              <w:t>5</w:t>
            </w:r>
            <w:r>
              <w:rPr>
                <w:rFonts w:ascii="宋体" w:hAnsi="宋体" w:eastAsia="宋体"/>
                <w:sz w:val="24"/>
                <w:szCs w:val="24"/>
                <w:highlight w:val="none"/>
              </w:rPr>
              <w:t>】月【</w:t>
            </w:r>
            <w:r>
              <w:rPr>
                <w:rFonts w:hint="eastAsia" w:ascii="宋体" w:hAnsi="宋体" w:eastAsia="宋体"/>
                <w:sz w:val="24"/>
                <w:szCs w:val="24"/>
                <w:highlight w:val="none"/>
                <w:lang w:val="en-US" w:eastAsia="zh-CN"/>
              </w:rPr>
              <w:t>28</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196</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5%-2.</w:t>
            </w:r>
            <w:r>
              <w:rPr>
                <w:rFonts w:hint="eastAsia" w:ascii="宋体" w:hAnsi="宋体" w:eastAsia="宋体"/>
                <w:b/>
                <w:bCs/>
                <w:sz w:val="24"/>
                <w:szCs w:val="24"/>
                <w:highlight w:val="none"/>
                <w:lang w:val="en-US" w:eastAsia="zh-CN"/>
              </w:rPr>
              <w:t>5</w:t>
            </w:r>
            <w:r>
              <w:rPr>
                <w:rFonts w:hint="eastAsia" w:ascii="宋体" w:hAnsi="宋体" w:eastAsia="宋体"/>
                <w:b/>
                <w:bCs/>
                <w:sz w:val="24"/>
                <w:szCs w:val="24"/>
                <w:highlight w:val="none"/>
              </w:rPr>
              <w:t>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年化【2.20%-2.50%】</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年化【2.35%-2.65%】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年化【2.20%-2.50%】</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年化【2.45%-2.75%】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业绩比较基准测算依据：本理财产品为固定收益类产品，以产品投资债券类资产仓位50%-100%，权益类资产仓位0-10%，组合杠杆率100%-140%为例，根据当前市场环境下大类资产配置比例及大类资产收益情况，考虑杠杆和费率等因素，并结合产品投资策略进行测算，确定本产品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2.40%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2.60</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0.25</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0.01</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ascii="宋体" w:hAnsi="宋体" w:eastAsia="宋体"/>
          <w:b/>
          <w:bCs/>
          <w:sz w:val="24"/>
          <w:szCs w:val="24"/>
        </w:rPr>
      </w:pPr>
      <w:r>
        <w:rPr>
          <w:rFonts w:hint="eastAsia" w:ascii="宋体" w:hAnsi="宋体" w:eastAsia="宋体"/>
          <w:sz w:val="24"/>
          <w:szCs w:val="24"/>
        </w:rPr>
        <w:t>（一）投资目标</w:t>
      </w:r>
    </w:p>
    <w:p>
      <w:pPr>
        <w:spacing w:line="300" w:lineRule="auto"/>
        <w:ind w:firstLine="480" w:firstLineChars="200"/>
        <w:jc w:val="left"/>
        <w:rPr>
          <w:rFonts w:ascii="宋体" w:hAnsi="宋体" w:eastAsia="宋体"/>
          <w:sz w:val="24"/>
          <w:szCs w:val="24"/>
          <w:highlight w:val="yellow"/>
        </w:rPr>
      </w:pPr>
      <w:r>
        <w:rPr>
          <w:rFonts w:hint="eastAsia" w:ascii="宋体" w:hAnsi="宋体" w:eastAsia="宋体"/>
          <w:sz w:val="24"/>
          <w:szCs w:val="24"/>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ascii="宋体" w:hAnsi="宋体" w:eastAsia="宋体"/>
          <w:sz w:val="24"/>
          <w:szCs w:val="24"/>
        </w:rPr>
      </w:pPr>
      <w:r>
        <w:rPr>
          <w:rFonts w:hint="eastAsia" w:ascii="宋体" w:hAnsi="宋体" w:eastAsia="宋体"/>
          <w:sz w:val="24"/>
          <w:szCs w:val="24"/>
        </w:rPr>
        <w:t>（二）投资范围和投资比例</w:t>
      </w:r>
    </w:p>
    <w:p>
      <w:pPr>
        <w:spacing w:line="300" w:lineRule="auto"/>
        <w:ind w:firstLine="480" w:firstLineChars="200"/>
        <w:jc w:val="left"/>
        <w:outlineLvl w:val="2"/>
        <w:rPr>
          <w:rFonts w:ascii="宋体" w:hAnsi="宋体" w:eastAsia="宋体"/>
          <w:sz w:val="24"/>
          <w:szCs w:val="24"/>
        </w:rPr>
      </w:pPr>
      <w:r>
        <w:rPr>
          <w:rFonts w:hint="eastAsia" w:ascii="宋体" w:hAnsi="宋体" w:eastAsia="宋体"/>
          <w:sz w:val="24"/>
          <w:szCs w:val="24"/>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本理财产品主要投资于以下符合监管要求的金融资产和金融工具：</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一般性存款、结构性存款、同业存单、其他货币市场工具、银行间市场和证券交易所发行的债券、货币市场基金、债券基金、债券质押式及买断式回购、资产支持证券、可转换债券、可交换债券、理财直接融资工具、收益凭证，以上述资产为主要投资范围的公募基金、信托计划、资产管理计划等资产管理产品，及其他符合监管要求的债权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（2）权益类、混合类资产管理产品（包括但不限于公募基金、信托计划、资产管理计划等），优先股，及其他符合监管要求的权益类资产；</w:t>
      </w:r>
    </w:p>
    <w:p>
      <w:pPr>
        <w:numPr>
          <w:ilvl w:val="255"/>
          <w:numId w:val="0"/>
        </w:numPr>
        <w:spacing w:line="300" w:lineRule="auto"/>
        <w:ind w:firstLine="480" w:firstLineChars="200"/>
        <w:rPr>
          <w:rFonts w:ascii="宋体" w:hAnsi="宋体" w:eastAsia="宋体"/>
          <w:sz w:val="24"/>
          <w:szCs w:val="24"/>
        </w:rPr>
      </w:pPr>
      <w:r>
        <w:rPr>
          <w:rFonts w:hint="eastAsia" w:ascii="宋体" w:hAnsi="宋体" w:eastAsia="宋体"/>
          <w:sz w:val="24"/>
          <w:szCs w:val="24"/>
          <w:highlight w:val="none"/>
        </w:rPr>
        <w:t>（3）利率互换、收益互换、股指期货、国债期货、商品期货、期权等商品及金融衍生品类资产，以及包含上述投资范围的资产管理产品（本理财产品管理人在直接投资于金融衍生品类资产前，需先获得相应的衍生产品交易资格）。</w:t>
      </w:r>
    </w:p>
    <w:p>
      <w:pPr>
        <w:numPr>
          <w:ilvl w:val="255"/>
          <w:numId w:val="0"/>
        </w:numPr>
        <w:spacing w:line="300" w:lineRule="auto"/>
        <w:ind w:firstLine="480" w:firstLineChars="200"/>
        <w:rPr>
          <w:rFonts w:ascii="宋体" w:hAnsi="宋体" w:eastAsia="宋体"/>
          <w:sz w:val="24"/>
          <w:szCs w:val="24"/>
        </w:rPr>
      </w:pPr>
      <w:r>
        <w:rPr>
          <w:rFonts w:hint="eastAsia" w:ascii="宋体" w:hAnsi="宋体" w:eastAsia="宋体"/>
          <w:sz w:val="24"/>
          <w:szCs w:val="24"/>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rPr>
        <w:t>前2个工作日</w:t>
      </w:r>
      <w:r>
        <w:rPr>
          <w:rFonts w:hint="eastAsia" w:ascii="宋体" w:hAnsi="宋体" w:eastAsia="宋体"/>
          <w:sz w:val="24"/>
          <w:szCs w:val="24"/>
        </w:rPr>
        <w:t>公告。</w:t>
      </w:r>
      <w:r>
        <w:rPr>
          <w:rFonts w:hint="eastAsia" w:ascii="宋体" w:hAnsi="宋体" w:eastAsia="宋体"/>
          <w:b/>
          <w:bCs/>
          <w:sz w:val="24"/>
          <w:szCs w:val="24"/>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ascii="宋体" w:hAnsi="宋体" w:eastAsia="宋体"/>
          <w:b/>
          <w:bCs/>
          <w:sz w:val="24"/>
          <w:szCs w:val="24"/>
        </w:rPr>
      </w:pPr>
      <w:r>
        <w:rPr>
          <w:rFonts w:hint="eastAsia" w:ascii="宋体" w:hAnsi="宋体" w:eastAsia="宋体"/>
          <w:b/>
          <w:bCs/>
          <w:sz w:val="24"/>
          <w:szCs w:val="24"/>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ascii="宋体" w:hAnsi="宋体" w:eastAsia="宋体"/>
          <w:sz w:val="24"/>
          <w:szCs w:val="24"/>
          <w:lang w:bidi="ar"/>
        </w:rPr>
      </w:pPr>
      <w:r>
        <w:rPr>
          <w:rFonts w:hint="eastAsia" w:ascii="宋体" w:hAnsi="宋体" w:eastAsia="宋体"/>
          <w:sz w:val="24"/>
          <w:szCs w:val="24"/>
          <w:lang w:bidi="ar"/>
        </w:rPr>
        <w:t>2.投资比例</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（1）本理财产品投资于债权类资产的比例不低于产品总资产的90%；</w:t>
      </w:r>
    </w:p>
    <w:p>
      <w:pPr>
        <w:ind w:firstLine="480" w:firstLineChars="200"/>
        <w:jc w:val="left"/>
        <w:rPr>
          <w:rFonts w:hint="eastAsia" w:ascii="宋体" w:hAnsi="宋体" w:eastAsia="宋体"/>
          <w:sz w:val="24"/>
          <w:szCs w:val="24"/>
          <w:lang w:bidi="ar"/>
        </w:rPr>
      </w:pPr>
      <w:r>
        <w:rPr>
          <w:rFonts w:hint="eastAsia" w:ascii="宋体" w:hAnsi="宋体" w:eastAsia="宋体"/>
          <w:sz w:val="24"/>
          <w:szCs w:val="24"/>
          <w:highlight w:val="none"/>
          <w:lang w:bidi="ar"/>
        </w:rPr>
        <w:t>（2）本理财产品投资于权益类、商品及金融衍生品类资产的比例合计不高于产品总资产的10%。</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本理财产品建仓期为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eastAsia="宋体"/>
          <w:sz w:val="24"/>
          <w:szCs w:val="24"/>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rPr>
        <w:t>除上述情形外，非因产品管理人主观因素导致突破前述比例限制的，产品管理人将在流动性受限资产可出售、可转让或者恢复交易的</w:t>
      </w:r>
      <w:r>
        <w:rPr>
          <w:rFonts w:ascii="宋体" w:hAnsi="宋体" w:eastAsia="宋体"/>
          <w:sz w:val="24"/>
          <w:szCs w:val="24"/>
        </w:rPr>
        <w:t>15</w:t>
      </w:r>
      <w:r>
        <w:rPr>
          <w:rFonts w:hint="eastAsia" w:ascii="宋体" w:hAnsi="宋体" w:eastAsia="宋体"/>
          <w:sz w:val="24"/>
          <w:szCs w:val="24"/>
        </w:rPr>
        <w:t>个交易日内调整至符合相关要求，国务院银行业监督管理机构规定的特殊情形除外。</w:t>
      </w:r>
    </w:p>
    <w:p>
      <w:pPr>
        <w:numPr>
          <w:ilvl w:val="0"/>
          <w:numId w:val="6"/>
        </w:numPr>
        <w:spacing w:line="300" w:lineRule="auto"/>
        <w:outlineLvl w:val="1"/>
        <w:rPr>
          <w:rFonts w:ascii="宋体" w:hAnsi="宋体" w:eastAsia="宋体"/>
          <w:sz w:val="24"/>
          <w:szCs w:val="24"/>
        </w:rPr>
      </w:pPr>
      <w:r>
        <w:rPr>
          <w:rFonts w:hint="eastAsia" w:ascii="宋体" w:hAnsi="宋体" w:eastAsia="宋体"/>
          <w:sz w:val="24"/>
          <w:szCs w:val="24"/>
        </w:rPr>
        <w:t>投资策略</w:t>
      </w:r>
    </w:p>
    <w:p>
      <w:pPr>
        <w:numPr>
          <w:ilvl w:val="-1"/>
          <w:numId w:val="0"/>
        </w:numPr>
        <w:spacing w:line="300" w:lineRule="auto"/>
        <w:ind w:firstLine="480" w:firstLineChars="200"/>
        <w:jc w:val="left"/>
        <w:outlineLvl w:val="1"/>
        <w:rPr>
          <w:rFonts w:hint="eastAsia" w:ascii="宋体" w:hAnsi="宋体" w:eastAsia="宋体"/>
          <w:sz w:val="24"/>
          <w:szCs w:val="24"/>
        </w:rPr>
      </w:pPr>
      <w:r>
        <w:rPr>
          <w:rFonts w:hint="eastAsia" w:ascii="宋体" w:hAnsi="宋体" w:eastAsia="宋体"/>
          <w:sz w:val="24"/>
          <w:szCs w:val="24"/>
        </w:rPr>
        <w:t>通过综合分析宏观经济走势、财政与货币政策、利率波动与趋势、利率期限结构、信用风险和利差变化等因素，在符合产品投资范围和投资比例的前提下，综合考虑各类投资品种的收益性、流动性和风险特征，追求获得较好的投资回报。</w:t>
      </w:r>
    </w:p>
    <w:p>
      <w:pPr>
        <w:numPr>
          <w:ilvl w:val="-1"/>
          <w:numId w:val="0"/>
        </w:numPr>
        <w:spacing w:line="300" w:lineRule="auto"/>
        <w:ind w:firstLine="480" w:firstLineChars="200"/>
        <w:jc w:val="left"/>
        <w:outlineLvl w:val="1"/>
        <w:rPr>
          <w:rFonts w:hint="eastAsia" w:ascii="宋体" w:hAnsi="宋体" w:eastAsia="宋体"/>
          <w:sz w:val="24"/>
          <w:szCs w:val="24"/>
        </w:rPr>
      </w:pPr>
      <w:r>
        <w:rPr>
          <w:rFonts w:hint="eastAsia" w:ascii="宋体" w:hAnsi="宋体" w:eastAsia="宋体"/>
          <w:sz w:val="24"/>
          <w:szCs w:val="24"/>
          <w:lang w:eastAsia="zh-CN"/>
        </w:rPr>
        <w:t>1</w:t>
      </w:r>
      <w:r>
        <w:rPr>
          <w:rFonts w:hint="eastAsia" w:ascii="宋体" w:hAnsi="宋体" w:eastAsia="宋体"/>
          <w:sz w:val="24"/>
          <w:szCs w:val="24"/>
          <w:lang w:val="en-US" w:eastAsia="zh-CN"/>
        </w:rPr>
        <w:t>.</w:t>
      </w:r>
      <w:r>
        <w:rPr>
          <w:rFonts w:hint="eastAsia" w:ascii="宋体" w:hAnsi="宋体" w:eastAsia="宋体"/>
          <w:sz w:val="24"/>
          <w:szCs w:val="24"/>
        </w:rPr>
        <w:t>配置策略</w:t>
      </w:r>
    </w:p>
    <w:p>
      <w:pPr>
        <w:numPr>
          <w:ilvl w:val="-1"/>
          <w:numId w:val="0"/>
        </w:numPr>
        <w:spacing w:line="300" w:lineRule="auto"/>
        <w:ind w:firstLine="480" w:firstLineChars="200"/>
        <w:jc w:val="left"/>
        <w:outlineLvl w:val="1"/>
        <w:rPr>
          <w:rFonts w:hint="eastAsia" w:ascii="宋体" w:hAnsi="宋体" w:eastAsia="宋体"/>
          <w:sz w:val="24"/>
          <w:szCs w:val="24"/>
        </w:rPr>
      </w:pPr>
      <w:r>
        <w:rPr>
          <w:rFonts w:hint="eastAsia" w:ascii="宋体" w:hAnsi="宋体" w:eastAsia="宋体"/>
          <w:sz w:val="24"/>
          <w:szCs w:val="24"/>
        </w:rPr>
        <w:t>以持有标准化债权资产至到期为目的，选择投资于信用风险较为可控、收益相对较高的固定收益类资产，构建具有较优风险收益特征的投资组合。标准化债权资产的配置会在对市场利率波动与趋势做出预期分析的基础上，结合利率期限结构变化、信用利差变化等因素挑选较优的组合配置方案。</w:t>
      </w:r>
    </w:p>
    <w:p>
      <w:pPr>
        <w:numPr>
          <w:ilvl w:val="-1"/>
          <w:numId w:val="0"/>
        </w:numPr>
        <w:spacing w:line="300" w:lineRule="auto"/>
        <w:ind w:firstLine="480" w:firstLineChars="200"/>
        <w:jc w:val="left"/>
        <w:outlineLvl w:val="1"/>
        <w:rPr>
          <w:rFonts w:hint="eastAsia" w:ascii="宋体" w:hAnsi="宋体" w:eastAsia="宋体"/>
          <w:sz w:val="24"/>
          <w:szCs w:val="24"/>
        </w:rPr>
      </w:pPr>
      <w:r>
        <w:rPr>
          <w:rFonts w:hint="eastAsia" w:ascii="宋体" w:hAnsi="宋体" w:eastAsia="宋体"/>
          <w:sz w:val="24"/>
          <w:szCs w:val="24"/>
          <w:lang w:eastAsia="zh-CN"/>
        </w:rPr>
        <w:t>2</w:t>
      </w:r>
      <w:r>
        <w:rPr>
          <w:rFonts w:hint="eastAsia" w:ascii="宋体" w:hAnsi="宋体" w:eastAsia="宋体"/>
          <w:sz w:val="24"/>
          <w:szCs w:val="24"/>
          <w:lang w:val="en-US" w:eastAsia="zh-CN"/>
        </w:rPr>
        <w:t>.</w:t>
      </w:r>
      <w:r>
        <w:rPr>
          <w:rFonts w:hint="eastAsia" w:ascii="宋体" w:hAnsi="宋体" w:eastAsia="宋体"/>
          <w:sz w:val="24"/>
          <w:szCs w:val="24"/>
        </w:rPr>
        <w:t>利率预期策略与组合久期管理</w:t>
      </w:r>
    </w:p>
    <w:p>
      <w:pPr>
        <w:numPr>
          <w:ilvl w:val="-1"/>
          <w:numId w:val="0"/>
        </w:numPr>
        <w:spacing w:line="300" w:lineRule="auto"/>
        <w:ind w:firstLine="480" w:firstLineChars="200"/>
        <w:jc w:val="left"/>
        <w:outlineLvl w:val="1"/>
        <w:rPr>
          <w:rFonts w:hint="eastAsia" w:ascii="宋体" w:hAnsi="宋体" w:eastAsia="宋体"/>
          <w:sz w:val="24"/>
          <w:szCs w:val="24"/>
        </w:rPr>
      </w:pPr>
      <w:r>
        <w:rPr>
          <w:rFonts w:hint="eastAsia" w:ascii="宋体" w:hAnsi="宋体" w:eastAsia="宋体"/>
          <w:sz w:val="24"/>
          <w:szCs w:val="24"/>
        </w:rPr>
        <w:t>通过对宏观经济走势的研究，结合对财政政策、货币政策等经济金融政策的分析对市场利率波动与趋势做出预期和判断，并在综合考虑组合流动性的前提下，调整组合的资产配置久期。在合理控制风险的前提下，通过利率趋势预测，力争增厚组合收益。</w:t>
      </w:r>
    </w:p>
    <w:p>
      <w:pPr>
        <w:numPr>
          <w:ilvl w:val="-1"/>
          <w:numId w:val="0"/>
        </w:numPr>
        <w:spacing w:line="300" w:lineRule="auto"/>
        <w:ind w:firstLine="480" w:firstLineChars="200"/>
        <w:jc w:val="left"/>
        <w:outlineLvl w:val="1"/>
        <w:rPr>
          <w:rFonts w:hint="eastAsia" w:ascii="宋体" w:hAnsi="宋体" w:eastAsia="宋体"/>
          <w:sz w:val="24"/>
          <w:szCs w:val="24"/>
        </w:rPr>
      </w:pPr>
      <w:r>
        <w:rPr>
          <w:rFonts w:hint="eastAsia" w:ascii="宋体" w:hAnsi="宋体" w:eastAsia="宋体"/>
          <w:sz w:val="24"/>
          <w:szCs w:val="24"/>
          <w:lang w:eastAsia="zh-CN"/>
        </w:rPr>
        <w:t>3</w:t>
      </w:r>
      <w:r>
        <w:rPr>
          <w:rFonts w:hint="eastAsia" w:ascii="宋体" w:hAnsi="宋体" w:eastAsia="宋体"/>
          <w:sz w:val="24"/>
          <w:szCs w:val="24"/>
          <w:lang w:val="en-US" w:eastAsia="zh-CN"/>
        </w:rPr>
        <w:t>.</w:t>
      </w:r>
      <w:r>
        <w:rPr>
          <w:rFonts w:hint="eastAsia" w:ascii="宋体" w:hAnsi="宋体" w:eastAsia="宋体"/>
          <w:sz w:val="24"/>
          <w:szCs w:val="24"/>
        </w:rPr>
        <w:t>交易策略</w:t>
      </w:r>
    </w:p>
    <w:p>
      <w:pPr>
        <w:numPr>
          <w:ilvl w:val="255"/>
          <w:numId w:val="0"/>
        </w:numPr>
        <w:spacing w:line="300" w:lineRule="auto"/>
        <w:ind w:firstLine="480" w:firstLineChars="200"/>
        <w:jc w:val="left"/>
        <w:outlineLvl w:val="1"/>
        <w:rPr>
          <w:rFonts w:ascii="宋体" w:hAnsi="宋体" w:eastAsia="宋体"/>
          <w:sz w:val="24"/>
          <w:szCs w:val="24"/>
          <w:highlight w:val="yellow"/>
        </w:rPr>
      </w:pPr>
      <w:r>
        <w:rPr>
          <w:rFonts w:hint="eastAsia" w:ascii="宋体" w:hAnsi="宋体" w:eastAsia="宋体"/>
          <w:sz w:val="24"/>
          <w:szCs w:val="24"/>
        </w:rPr>
        <w:t>根据对市场利率波动与趋势的判断选取高流动性的金融工具(如国债、政策性金融债等)进行波段交易，高抛低吸以期获得交易性收益。交易策略将考虑投资品种的风险和收益特征，谨慎投资。</w:t>
      </w:r>
    </w:p>
    <w:p>
      <w:pPr>
        <w:spacing w:line="300" w:lineRule="auto"/>
        <w:jc w:val="left"/>
        <w:outlineLvl w:val="1"/>
        <w:rPr>
          <w:rFonts w:ascii="宋体" w:hAnsi="宋体" w:eastAsia="宋体"/>
          <w:sz w:val="24"/>
          <w:szCs w:val="24"/>
        </w:rPr>
      </w:pPr>
      <w:r>
        <w:rPr>
          <w:rFonts w:hint="eastAsia" w:ascii="宋体" w:hAnsi="宋体" w:eastAsia="宋体"/>
          <w:sz w:val="24"/>
          <w:szCs w:val="24"/>
        </w:rPr>
        <w:t>（四）投资限制</w:t>
      </w:r>
    </w:p>
    <w:p>
      <w:pPr>
        <w:spacing w:line="300" w:lineRule="auto"/>
        <w:ind w:firstLine="480" w:firstLineChars="200"/>
        <w:jc w:val="left"/>
        <w:rPr>
          <w:rFonts w:ascii="宋体" w:hAnsi="宋体" w:eastAsia="宋体"/>
          <w:sz w:val="24"/>
          <w:szCs w:val="24"/>
        </w:rPr>
      </w:pPr>
      <w:r>
        <w:rPr>
          <w:rFonts w:ascii="宋体" w:hAnsi="宋体" w:eastAsia="宋体"/>
          <w:sz w:val="24"/>
          <w:szCs w:val="24"/>
        </w:rPr>
        <w:t>1.本理财产品的杠杆水平不超过200%。</w:t>
      </w:r>
    </w:p>
    <w:p>
      <w:pPr>
        <w:spacing w:line="300" w:lineRule="auto"/>
        <w:ind w:firstLine="480" w:firstLineChars="200"/>
        <w:jc w:val="left"/>
        <w:rPr>
          <w:rFonts w:ascii="宋体" w:hAnsi="宋体" w:eastAsia="宋体"/>
          <w:sz w:val="24"/>
          <w:szCs w:val="24"/>
        </w:rPr>
      </w:pPr>
      <w:r>
        <w:rPr>
          <w:rFonts w:ascii="宋体" w:hAnsi="宋体" w:eastAsia="宋体"/>
          <w:sz w:val="24"/>
          <w:szCs w:val="24"/>
        </w:rPr>
        <w:t>2.本理财产品投资于单只证券、单只公募证券投资基金的市值不超过本产品净资产</w:t>
      </w:r>
      <w:r>
        <w:rPr>
          <w:rFonts w:hint="eastAsia" w:ascii="宋体" w:hAnsi="宋体" w:eastAsia="宋体"/>
          <w:sz w:val="24"/>
          <w:szCs w:val="24"/>
        </w:rPr>
        <w:t>的</w:t>
      </w:r>
      <w:r>
        <w:rPr>
          <w:rFonts w:ascii="宋体" w:hAnsi="宋体" w:eastAsia="宋体"/>
          <w:sz w:val="24"/>
          <w:szCs w:val="24"/>
        </w:rPr>
        <w:t>10%</w:t>
      </w:r>
      <w:r>
        <w:rPr>
          <w:rFonts w:hint="eastAsia" w:ascii="宋体" w:hAnsi="宋体" w:eastAsia="宋体"/>
          <w:sz w:val="24"/>
          <w:szCs w:val="24"/>
        </w:rPr>
        <w:t>，</w:t>
      </w:r>
      <w:r>
        <w:rPr>
          <w:rFonts w:ascii="宋体" w:hAnsi="宋体" w:eastAsia="宋体"/>
          <w:sz w:val="24"/>
          <w:szCs w:val="24"/>
        </w:rPr>
        <w:t>国债、地方政府债券、中央银行票据、政府机构债券、政策性</w:t>
      </w:r>
      <w:r>
        <w:rPr>
          <w:rFonts w:hint="eastAsia" w:ascii="宋体" w:hAnsi="宋体" w:eastAsia="宋体"/>
          <w:sz w:val="24"/>
          <w:szCs w:val="24"/>
        </w:rPr>
        <w:t>金融债券除外。</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非因产品管理人主观因素导致不符合前述第</w:t>
      </w:r>
      <w:r>
        <w:rPr>
          <w:rFonts w:ascii="宋体" w:hAnsi="宋体" w:eastAsia="宋体"/>
          <w:sz w:val="24"/>
          <w:szCs w:val="24"/>
        </w:rPr>
        <w:t>2条比例限制的，</w:t>
      </w:r>
      <w:r>
        <w:rPr>
          <w:rFonts w:hint="eastAsia" w:ascii="宋体" w:hAnsi="宋体" w:eastAsia="宋体"/>
          <w:sz w:val="24"/>
          <w:szCs w:val="24"/>
        </w:rPr>
        <w:t>产品</w:t>
      </w:r>
      <w:r>
        <w:rPr>
          <w:rFonts w:ascii="宋体" w:hAnsi="宋体" w:eastAsia="宋体"/>
          <w:sz w:val="24"/>
          <w:szCs w:val="24"/>
        </w:rPr>
        <w:t>管理人将在流动性受限资产</w:t>
      </w:r>
      <w:r>
        <w:rPr>
          <w:rFonts w:hint="eastAsia" w:ascii="宋体" w:hAnsi="宋体" w:eastAsia="宋体"/>
          <w:sz w:val="24"/>
          <w:szCs w:val="24"/>
        </w:rPr>
        <w:t>可出售、可转让或者恢复交易的</w:t>
      </w:r>
      <w:r>
        <w:rPr>
          <w:rFonts w:ascii="宋体" w:hAnsi="宋体" w:eastAsia="宋体"/>
          <w:sz w:val="24"/>
          <w:szCs w:val="24"/>
        </w:rPr>
        <w:t>1</w:t>
      </w:r>
      <w:r>
        <w:rPr>
          <w:rFonts w:hint="eastAsia" w:ascii="宋体" w:hAnsi="宋体" w:eastAsia="宋体"/>
          <w:sz w:val="24"/>
          <w:szCs w:val="24"/>
        </w:rPr>
        <w:t>0</w:t>
      </w:r>
      <w:r>
        <w:rPr>
          <w:rFonts w:ascii="宋体" w:hAnsi="宋体" w:eastAsia="宋体"/>
          <w:sz w:val="24"/>
          <w:szCs w:val="24"/>
        </w:rPr>
        <w:t>个交易日内调整至符合相关要求，国务院银行业监督管</w:t>
      </w:r>
      <w:r>
        <w:rPr>
          <w:rFonts w:hint="eastAsia" w:ascii="宋体" w:hAnsi="宋体" w:eastAsia="宋体"/>
          <w:sz w:val="24"/>
          <w:szCs w:val="24"/>
        </w:rPr>
        <w:t>理机构规定的特殊情形除外。</w:t>
      </w:r>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3</w:t>
      </w:r>
      <w:r>
        <w:rPr>
          <w:rFonts w:ascii="宋体" w:hAnsi="宋体" w:eastAsia="宋体"/>
          <w:sz w:val="24"/>
          <w:szCs w:val="24"/>
          <w:highlight w:val="none"/>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12</w:t>
      </w:r>
      <w:r>
        <w:rPr>
          <w:rFonts w:ascii="宋体" w:hAnsi="宋体" w:eastAsia="宋体"/>
          <w:sz w:val="24"/>
          <w:szCs w:val="24"/>
          <w:highlight w:val="none"/>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7"/>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每个自然日计提的销售服务费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净资产×相应份额当前执行的销售服务费率÷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。本理财产品每个自然日计提的销售服务费为各类份额每个自然日计提的销售服务费总和。</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0"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0"/>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银行股份有限公司，地址为</w:t>
      </w:r>
      <w:r>
        <w:rPr>
          <w:rFonts w:hint="eastAsia" w:ascii="宋体" w:hAnsi="宋体" w:eastAsia="宋体"/>
          <w:sz w:val="24"/>
          <w:szCs w:val="24"/>
          <w:highlight w:val="none"/>
          <w:lang w:val="en-US" w:eastAsia="zh-CN"/>
        </w:rPr>
        <w:t>湖南省长沙市岳麓区滨江路53号楷林商务中心B座</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1"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兴业</w:t>
      </w:r>
      <w:r>
        <w:rPr>
          <w:rFonts w:hint="eastAsia" w:ascii="宋体" w:hAnsi="宋体" w:eastAsia="宋体"/>
          <w:sz w:val="24"/>
          <w:szCs w:val="24"/>
        </w:rPr>
        <w:t>银行股份有限公司，住所：</w:t>
      </w:r>
      <w:r>
        <w:rPr>
          <w:rFonts w:hint="eastAsia" w:ascii="宋体" w:hAnsi="宋体" w:eastAsia="宋体" w:cstheme="minorBidi"/>
          <w:i w:val="0"/>
          <w:caps w:val="0"/>
          <w:color w:val="auto"/>
          <w:spacing w:val="0"/>
          <w:sz w:val="24"/>
          <w:szCs w:val="24"/>
        </w:rPr>
        <w:t>福州市台江区江滨中大道398号兴业银行大厦</w:t>
      </w:r>
      <w:r>
        <w:rPr>
          <w:rFonts w:ascii="宋体" w:hAnsi="宋体" w:eastAsia="宋体"/>
          <w:sz w:val="24"/>
          <w:szCs w:val="24"/>
        </w:rPr>
        <w:t>，客户服务热线</w:t>
      </w:r>
      <w:r>
        <w:rPr>
          <w:rFonts w:hint="eastAsia" w:ascii="宋体" w:hAnsi="宋体" w:eastAsia="宋体"/>
          <w:sz w:val="24"/>
          <w:szCs w:val="24"/>
        </w:rPr>
        <w:t>：</w:t>
      </w:r>
      <w:r>
        <w:rPr>
          <w:rFonts w:ascii="宋体" w:hAnsi="宋体" w:eastAsia="宋体"/>
          <w:sz w:val="24"/>
          <w:szCs w:val="24"/>
        </w:rPr>
        <w:t>955</w:t>
      </w:r>
      <w:r>
        <w:rPr>
          <w:rFonts w:hint="eastAsia" w:ascii="宋体" w:hAnsi="宋体" w:eastAsia="宋体"/>
          <w:sz w:val="24"/>
          <w:szCs w:val="24"/>
          <w:lang w:val="en-US" w:eastAsia="zh-CN"/>
        </w:rPr>
        <w:t>61。</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rPr>
        <w:t>温州银行股份有限公司</w:t>
      </w:r>
      <w:r>
        <w:rPr>
          <w:rFonts w:hint="eastAsia" w:ascii="宋体" w:hAnsi="宋体" w:eastAsia="宋体"/>
          <w:sz w:val="24"/>
          <w:szCs w:val="24"/>
          <w:highlight w:val="none"/>
          <w:lang w:eastAsia="zh-CN"/>
        </w:rPr>
        <w:t>，</w:t>
      </w:r>
      <w:r>
        <w:rPr>
          <w:rFonts w:hint="eastAsia" w:ascii="宋体" w:hAnsi="宋体" w:eastAsia="宋体"/>
          <w:sz w:val="24"/>
          <w:szCs w:val="24"/>
        </w:rPr>
        <w:t>住所：浙江省温州市鹿城区会展路1316号</w:t>
      </w:r>
      <w:r>
        <w:rPr>
          <w:rFonts w:hint="eastAsia" w:ascii="宋体" w:hAnsi="宋体" w:eastAsia="宋体"/>
          <w:sz w:val="24"/>
          <w:szCs w:val="24"/>
          <w:lang w:eastAsia="zh-CN"/>
        </w:rPr>
        <w:t>，</w:t>
      </w:r>
      <w:r>
        <w:rPr>
          <w:rFonts w:ascii="宋体" w:hAnsi="宋体" w:eastAsia="宋体"/>
          <w:sz w:val="24"/>
          <w:szCs w:val="24"/>
        </w:rPr>
        <w:t>客户服务热线</w:t>
      </w:r>
      <w:r>
        <w:rPr>
          <w:rFonts w:hint="eastAsia" w:ascii="宋体" w:hAnsi="宋体" w:eastAsia="宋体"/>
          <w:sz w:val="24"/>
          <w:szCs w:val="24"/>
        </w:rPr>
        <w:t>：0577-96699</w:t>
      </w:r>
      <w:r>
        <w:rPr>
          <w:rFonts w:hint="eastAsia" w:ascii="宋体" w:hAnsi="宋体" w:eastAsia="宋体"/>
          <w:sz w:val="24"/>
          <w:szCs w:val="24"/>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九江银行股份有限公司，住所：江西省九江市濂溪区长虹大道619号，客户服务热线：95316。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内蒙古银行股份有限公司，住所：呼和浩特市赛罕区腾飞南路33号，客户服务热线：40005-96019。</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天津农村商业银行股份有限公司，住所</w:t>
      </w:r>
      <w:r>
        <w:rPr>
          <w:rFonts w:hint="eastAsia" w:ascii="宋体" w:hAnsi="宋体" w:eastAsia="宋体"/>
          <w:sz w:val="24"/>
          <w:szCs w:val="24"/>
          <w:highlight w:val="none"/>
          <w:lang w:eastAsia="zh-CN"/>
        </w:rPr>
        <w:t>：天津市河西区友谊路32号</w:t>
      </w:r>
      <w:r>
        <w:rPr>
          <w:rFonts w:ascii="宋体" w:hAnsi="宋体" w:eastAsia="宋体"/>
          <w:sz w:val="24"/>
          <w:szCs w:val="24"/>
          <w:highlight w:val="none"/>
        </w:rPr>
        <w:t>，客户服务热线</w:t>
      </w:r>
      <w:r>
        <w:rPr>
          <w:rFonts w:hint="eastAsia" w:ascii="宋体" w:hAnsi="宋体" w:eastAsia="宋体"/>
          <w:sz w:val="24"/>
          <w:szCs w:val="24"/>
          <w:highlight w:val="none"/>
          <w:lang w:eastAsia="zh-CN"/>
        </w:rPr>
        <w:t>：022-96155</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盛京</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住所</w:t>
      </w:r>
      <w:r>
        <w:rPr>
          <w:rFonts w:hint="eastAsia" w:ascii="宋体" w:hAnsi="宋体" w:eastAsia="宋体"/>
          <w:sz w:val="24"/>
          <w:szCs w:val="24"/>
        </w:rPr>
        <w:t>：</w:t>
      </w:r>
      <w:r>
        <w:rPr>
          <w:rFonts w:hint="eastAsia" w:ascii="宋体" w:hAnsi="宋体" w:eastAsia="宋体"/>
          <w:sz w:val="24"/>
          <w:szCs w:val="24"/>
          <w:highlight w:val="none"/>
          <w:lang w:val="en-US" w:eastAsia="zh-CN"/>
        </w:rPr>
        <w:t>沈阳市沈河区北站路109号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95337</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1"/>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rPr>
          <w:rFonts w:hint="eastAsia" w:ascii="宋体" w:hAnsi="宋体" w:eastAsia="宋体"/>
          <w:sz w:val="24"/>
          <w:szCs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C507B729"/>
    <w:multiLevelType w:val="singleLevel"/>
    <w:tmpl w:val="C507B729"/>
    <w:lvl w:ilvl="0" w:tentative="0">
      <w:start w:val="4"/>
      <w:numFmt w:val="decimal"/>
      <w:lvlText w:val="%1."/>
      <w:lvlJc w:val="left"/>
      <w:pPr>
        <w:tabs>
          <w:tab w:val="left" w:pos="312"/>
        </w:tabs>
      </w:pPr>
    </w:lvl>
  </w:abstractNum>
  <w:abstractNum w:abstractNumId="2">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5">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6">
    <w:nsid w:val="57E61E1F"/>
    <w:multiLevelType w:val="singleLevel"/>
    <w:tmpl w:val="57E61E1F"/>
    <w:lvl w:ilvl="0" w:tentative="0">
      <w:start w:val="1"/>
      <w:numFmt w:val="chineseCounting"/>
      <w:suff w:val="nothing"/>
      <w:lvlText w:val="（%1）"/>
      <w:lvlJc w:val="left"/>
      <w:rPr>
        <w:rFonts w:hint="eastAsia"/>
      </w:rPr>
    </w:lvl>
  </w:abstractNum>
  <w:abstractNum w:abstractNumId="7">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4"/>
  </w:num>
  <w:num w:numId="4">
    <w:abstractNumId w:val="7"/>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ODI4OTlkNWI3ZGMyMTI4M2FjZjI0ZjQ4ZWY2ZjcifQ=="/>
  </w:docVars>
  <w:rsids>
    <w:rsidRoot w:val="68371EB1"/>
    <w:rsid w:val="000035A3"/>
    <w:rsid w:val="00004B79"/>
    <w:rsid w:val="00006524"/>
    <w:rsid w:val="0001112B"/>
    <w:rsid w:val="00024CA9"/>
    <w:rsid w:val="00032C9C"/>
    <w:rsid w:val="00036E72"/>
    <w:rsid w:val="000506F9"/>
    <w:rsid w:val="00051841"/>
    <w:rsid w:val="00061613"/>
    <w:rsid w:val="000645E4"/>
    <w:rsid w:val="00097A18"/>
    <w:rsid w:val="000A4541"/>
    <w:rsid w:val="000A69DE"/>
    <w:rsid w:val="000B4D75"/>
    <w:rsid w:val="000B6D24"/>
    <w:rsid w:val="000B7618"/>
    <w:rsid w:val="000C0E42"/>
    <w:rsid w:val="000D10C8"/>
    <w:rsid w:val="000D12E4"/>
    <w:rsid w:val="000D6B3E"/>
    <w:rsid w:val="000E074E"/>
    <w:rsid w:val="000E5C50"/>
    <w:rsid w:val="000E7773"/>
    <w:rsid w:val="000F0D96"/>
    <w:rsid w:val="000F6272"/>
    <w:rsid w:val="00103833"/>
    <w:rsid w:val="00110210"/>
    <w:rsid w:val="00124E2B"/>
    <w:rsid w:val="0012707B"/>
    <w:rsid w:val="001421F8"/>
    <w:rsid w:val="00147E19"/>
    <w:rsid w:val="00150844"/>
    <w:rsid w:val="0016025F"/>
    <w:rsid w:val="00163B7B"/>
    <w:rsid w:val="00163C19"/>
    <w:rsid w:val="00167828"/>
    <w:rsid w:val="001807C3"/>
    <w:rsid w:val="00195677"/>
    <w:rsid w:val="001959AE"/>
    <w:rsid w:val="001A06FF"/>
    <w:rsid w:val="001A3EF5"/>
    <w:rsid w:val="001B21E7"/>
    <w:rsid w:val="001E028A"/>
    <w:rsid w:val="001E1AF9"/>
    <w:rsid w:val="0021517C"/>
    <w:rsid w:val="002154F6"/>
    <w:rsid w:val="00222AB8"/>
    <w:rsid w:val="00224686"/>
    <w:rsid w:val="002321DC"/>
    <w:rsid w:val="00232691"/>
    <w:rsid w:val="00234FEC"/>
    <w:rsid w:val="002625B5"/>
    <w:rsid w:val="00272F8D"/>
    <w:rsid w:val="00273D11"/>
    <w:rsid w:val="00285E2C"/>
    <w:rsid w:val="00286579"/>
    <w:rsid w:val="00291101"/>
    <w:rsid w:val="00293FC9"/>
    <w:rsid w:val="002A270F"/>
    <w:rsid w:val="002A2B42"/>
    <w:rsid w:val="002A42EF"/>
    <w:rsid w:val="002A4A21"/>
    <w:rsid w:val="002C758A"/>
    <w:rsid w:val="002D194A"/>
    <w:rsid w:val="002D3523"/>
    <w:rsid w:val="002E0872"/>
    <w:rsid w:val="002F5161"/>
    <w:rsid w:val="00304EF1"/>
    <w:rsid w:val="00306602"/>
    <w:rsid w:val="003071D4"/>
    <w:rsid w:val="00315230"/>
    <w:rsid w:val="00323E61"/>
    <w:rsid w:val="00337006"/>
    <w:rsid w:val="00337791"/>
    <w:rsid w:val="00345243"/>
    <w:rsid w:val="0034529F"/>
    <w:rsid w:val="0035184A"/>
    <w:rsid w:val="00352E7B"/>
    <w:rsid w:val="0036535A"/>
    <w:rsid w:val="00377CFA"/>
    <w:rsid w:val="003847C6"/>
    <w:rsid w:val="00393821"/>
    <w:rsid w:val="003A3EF0"/>
    <w:rsid w:val="003A6976"/>
    <w:rsid w:val="003C0613"/>
    <w:rsid w:val="003C0CD7"/>
    <w:rsid w:val="003C437F"/>
    <w:rsid w:val="003D4B45"/>
    <w:rsid w:val="003D61BA"/>
    <w:rsid w:val="003E00C3"/>
    <w:rsid w:val="003E6814"/>
    <w:rsid w:val="00401A62"/>
    <w:rsid w:val="00407D60"/>
    <w:rsid w:val="00415C7E"/>
    <w:rsid w:val="00423C7C"/>
    <w:rsid w:val="00426D8C"/>
    <w:rsid w:val="00432667"/>
    <w:rsid w:val="0044767E"/>
    <w:rsid w:val="0045625D"/>
    <w:rsid w:val="00456973"/>
    <w:rsid w:val="00463847"/>
    <w:rsid w:val="00465DCE"/>
    <w:rsid w:val="00475B90"/>
    <w:rsid w:val="00482C80"/>
    <w:rsid w:val="0048516D"/>
    <w:rsid w:val="0048653D"/>
    <w:rsid w:val="00490A73"/>
    <w:rsid w:val="004948FE"/>
    <w:rsid w:val="004A1854"/>
    <w:rsid w:val="004A236F"/>
    <w:rsid w:val="004A24DE"/>
    <w:rsid w:val="004A3A55"/>
    <w:rsid w:val="004C6CAC"/>
    <w:rsid w:val="004D1068"/>
    <w:rsid w:val="004D2899"/>
    <w:rsid w:val="004E4592"/>
    <w:rsid w:val="004F07A5"/>
    <w:rsid w:val="004F52C7"/>
    <w:rsid w:val="004F5F9D"/>
    <w:rsid w:val="00502807"/>
    <w:rsid w:val="00502E84"/>
    <w:rsid w:val="00514F8A"/>
    <w:rsid w:val="005153AB"/>
    <w:rsid w:val="00515C52"/>
    <w:rsid w:val="00530734"/>
    <w:rsid w:val="00530B5B"/>
    <w:rsid w:val="0053234A"/>
    <w:rsid w:val="005335D7"/>
    <w:rsid w:val="00534088"/>
    <w:rsid w:val="00542C95"/>
    <w:rsid w:val="0055047D"/>
    <w:rsid w:val="00567A24"/>
    <w:rsid w:val="00574352"/>
    <w:rsid w:val="00582F7A"/>
    <w:rsid w:val="0059165A"/>
    <w:rsid w:val="00595056"/>
    <w:rsid w:val="00597626"/>
    <w:rsid w:val="005A1ABF"/>
    <w:rsid w:val="005A4FBD"/>
    <w:rsid w:val="005B2754"/>
    <w:rsid w:val="005C1438"/>
    <w:rsid w:val="005C518A"/>
    <w:rsid w:val="005D793C"/>
    <w:rsid w:val="005E089E"/>
    <w:rsid w:val="005E6937"/>
    <w:rsid w:val="005F42D8"/>
    <w:rsid w:val="00602943"/>
    <w:rsid w:val="006033A7"/>
    <w:rsid w:val="00605862"/>
    <w:rsid w:val="00611923"/>
    <w:rsid w:val="00625BDB"/>
    <w:rsid w:val="00627B3B"/>
    <w:rsid w:val="006376F3"/>
    <w:rsid w:val="00637DE4"/>
    <w:rsid w:val="006428F4"/>
    <w:rsid w:val="00657B03"/>
    <w:rsid w:val="00661258"/>
    <w:rsid w:val="006657E6"/>
    <w:rsid w:val="00672892"/>
    <w:rsid w:val="006747AF"/>
    <w:rsid w:val="00675769"/>
    <w:rsid w:val="006760F2"/>
    <w:rsid w:val="006819D7"/>
    <w:rsid w:val="00683B72"/>
    <w:rsid w:val="0068684B"/>
    <w:rsid w:val="006A143E"/>
    <w:rsid w:val="006A20BE"/>
    <w:rsid w:val="006A4900"/>
    <w:rsid w:val="006A6582"/>
    <w:rsid w:val="006B4097"/>
    <w:rsid w:val="006B6209"/>
    <w:rsid w:val="006C777F"/>
    <w:rsid w:val="006D4EEF"/>
    <w:rsid w:val="006E107C"/>
    <w:rsid w:val="006E74C4"/>
    <w:rsid w:val="006F47C1"/>
    <w:rsid w:val="006F60A6"/>
    <w:rsid w:val="0070138F"/>
    <w:rsid w:val="00702580"/>
    <w:rsid w:val="00724287"/>
    <w:rsid w:val="00743FA5"/>
    <w:rsid w:val="00744E2D"/>
    <w:rsid w:val="00745F02"/>
    <w:rsid w:val="007472A6"/>
    <w:rsid w:val="00751344"/>
    <w:rsid w:val="007519CB"/>
    <w:rsid w:val="00752553"/>
    <w:rsid w:val="007551B2"/>
    <w:rsid w:val="007559D4"/>
    <w:rsid w:val="00761C97"/>
    <w:rsid w:val="00770105"/>
    <w:rsid w:val="00786181"/>
    <w:rsid w:val="007A3AE2"/>
    <w:rsid w:val="007B0FDF"/>
    <w:rsid w:val="007B2E50"/>
    <w:rsid w:val="007B5637"/>
    <w:rsid w:val="007C38D0"/>
    <w:rsid w:val="007E691C"/>
    <w:rsid w:val="007F356D"/>
    <w:rsid w:val="008005D6"/>
    <w:rsid w:val="00801041"/>
    <w:rsid w:val="00802662"/>
    <w:rsid w:val="00806874"/>
    <w:rsid w:val="00807800"/>
    <w:rsid w:val="00810912"/>
    <w:rsid w:val="00811E62"/>
    <w:rsid w:val="00822719"/>
    <w:rsid w:val="00826B53"/>
    <w:rsid w:val="00830BF6"/>
    <w:rsid w:val="00842102"/>
    <w:rsid w:val="008502EC"/>
    <w:rsid w:val="008519ED"/>
    <w:rsid w:val="008616C8"/>
    <w:rsid w:val="00863D8A"/>
    <w:rsid w:val="008739B2"/>
    <w:rsid w:val="00876684"/>
    <w:rsid w:val="00880443"/>
    <w:rsid w:val="00887F98"/>
    <w:rsid w:val="0089136D"/>
    <w:rsid w:val="00895667"/>
    <w:rsid w:val="008A0DDF"/>
    <w:rsid w:val="008B40A4"/>
    <w:rsid w:val="008C69FC"/>
    <w:rsid w:val="008D293D"/>
    <w:rsid w:val="008D43C5"/>
    <w:rsid w:val="008D54DA"/>
    <w:rsid w:val="008E45B9"/>
    <w:rsid w:val="008F0B03"/>
    <w:rsid w:val="00910843"/>
    <w:rsid w:val="0092237C"/>
    <w:rsid w:val="00923045"/>
    <w:rsid w:val="00932B8D"/>
    <w:rsid w:val="00936CA0"/>
    <w:rsid w:val="009374FA"/>
    <w:rsid w:val="00937CB2"/>
    <w:rsid w:val="0094046E"/>
    <w:rsid w:val="00942924"/>
    <w:rsid w:val="009455A2"/>
    <w:rsid w:val="00954DD2"/>
    <w:rsid w:val="00955BA9"/>
    <w:rsid w:val="00957DD5"/>
    <w:rsid w:val="009617AB"/>
    <w:rsid w:val="0097436A"/>
    <w:rsid w:val="0097731B"/>
    <w:rsid w:val="009841CB"/>
    <w:rsid w:val="00993214"/>
    <w:rsid w:val="0099625C"/>
    <w:rsid w:val="009A0609"/>
    <w:rsid w:val="009A78C9"/>
    <w:rsid w:val="009D6D2F"/>
    <w:rsid w:val="009E5A61"/>
    <w:rsid w:val="00A00099"/>
    <w:rsid w:val="00A1581A"/>
    <w:rsid w:val="00A30EE7"/>
    <w:rsid w:val="00A421B5"/>
    <w:rsid w:val="00A61C4A"/>
    <w:rsid w:val="00A71587"/>
    <w:rsid w:val="00A836EC"/>
    <w:rsid w:val="00A84465"/>
    <w:rsid w:val="00A845A7"/>
    <w:rsid w:val="00A902BA"/>
    <w:rsid w:val="00A91C60"/>
    <w:rsid w:val="00A9432D"/>
    <w:rsid w:val="00A95F46"/>
    <w:rsid w:val="00A97EAB"/>
    <w:rsid w:val="00AB294B"/>
    <w:rsid w:val="00AB2BA9"/>
    <w:rsid w:val="00AD2EE3"/>
    <w:rsid w:val="00AD4EFF"/>
    <w:rsid w:val="00AF117E"/>
    <w:rsid w:val="00AF6071"/>
    <w:rsid w:val="00B11174"/>
    <w:rsid w:val="00B13719"/>
    <w:rsid w:val="00B21BA1"/>
    <w:rsid w:val="00B317BB"/>
    <w:rsid w:val="00B32539"/>
    <w:rsid w:val="00B44BE6"/>
    <w:rsid w:val="00B47E14"/>
    <w:rsid w:val="00B508C1"/>
    <w:rsid w:val="00B67155"/>
    <w:rsid w:val="00B7215B"/>
    <w:rsid w:val="00B90DA9"/>
    <w:rsid w:val="00B910EC"/>
    <w:rsid w:val="00BA077E"/>
    <w:rsid w:val="00BB2A3C"/>
    <w:rsid w:val="00BB6A0F"/>
    <w:rsid w:val="00BC1A16"/>
    <w:rsid w:val="00BC7B12"/>
    <w:rsid w:val="00BC7FF6"/>
    <w:rsid w:val="00BD4BBA"/>
    <w:rsid w:val="00BE46E6"/>
    <w:rsid w:val="00BE7624"/>
    <w:rsid w:val="00BF175D"/>
    <w:rsid w:val="00BF73F5"/>
    <w:rsid w:val="00C00F56"/>
    <w:rsid w:val="00C1201E"/>
    <w:rsid w:val="00C13F12"/>
    <w:rsid w:val="00C1602F"/>
    <w:rsid w:val="00C24BBE"/>
    <w:rsid w:val="00C34756"/>
    <w:rsid w:val="00C35618"/>
    <w:rsid w:val="00C36DD1"/>
    <w:rsid w:val="00C44A92"/>
    <w:rsid w:val="00C53692"/>
    <w:rsid w:val="00C5440C"/>
    <w:rsid w:val="00C57E31"/>
    <w:rsid w:val="00C66903"/>
    <w:rsid w:val="00C66FFE"/>
    <w:rsid w:val="00C83FE0"/>
    <w:rsid w:val="00C85201"/>
    <w:rsid w:val="00C918BF"/>
    <w:rsid w:val="00C92C3D"/>
    <w:rsid w:val="00C95E82"/>
    <w:rsid w:val="00CB17A0"/>
    <w:rsid w:val="00CB4CCD"/>
    <w:rsid w:val="00CC3AFA"/>
    <w:rsid w:val="00CD1627"/>
    <w:rsid w:val="00CD40BE"/>
    <w:rsid w:val="00CD6285"/>
    <w:rsid w:val="00CF09F7"/>
    <w:rsid w:val="00CF19EB"/>
    <w:rsid w:val="00CF58E3"/>
    <w:rsid w:val="00D03AA4"/>
    <w:rsid w:val="00D1596F"/>
    <w:rsid w:val="00D4199C"/>
    <w:rsid w:val="00D509F2"/>
    <w:rsid w:val="00D51C1B"/>
    <w:rsid w:val="00D55EAE"/>
    <w:rsid w:val="00D64FD1"/>
    <w:rsid w:val="00D7058A"/>
    <w:rsid w:val="00D779BC"/>
    <w:rsid w:val="00D77C56"/>
    <w:rsid w:val="00D851F9"/>
    <w:rsid w:val="00D94D88"/>
    <w:rsid w:val="00DA3C75"/>
    <w:rsid w:val="00DB4447"/>
    <w:rsid w:val="00DD3F60"/>
    <w:rsid w:val="00DD6EEF"/>
    <w:rsid w:val="00DE03D4"/>
    <w:rsid w:val="00DE22CB"/>
    <w:rsid w:val="00DE3CCF"/>
    <w:rsid w:val="00DE4D92"/>
    <w:rsid w:val="00E07DC8"/>
    <w:rsid w:val="00E176A4"/>
    <w:rsid w:val="00E35E1E"/>
    <w:rsid w:val="00E3707F"/>
    <w:rsid w:val="00E414D0"/>
    <w:rsid w:val="00E44E52"/>
    <w:rsid w:val="00E5200A"/>
    <w:rsid w:val="00E5533B"/>
    <w:rsid w:val="00E60B89"/>
    <w:rsid w:val="00E61653"/>
    <w:rsid w:val="00E9119D"/>
    <w:rsid w:val="00EA4A18"/>
    <w:rsid w:val="00EB1E1E"/>
    <w:rsid w:val="00EB2749"/>
    <w:rsid w:val="00EB556C"/>
    <w:rsid w:val="00EC03CA"/>
    <w:rsid w:val="00EC2B1B"/>
    <w:rsid w:val="00EC337B"/>
    <w:rsid w:val="00EC6E17"/>
    <w:rsid w:val="00ED177B"/>
    <w:rsid w:val="00F25332"/>
    <w:rsid w:val="00F35952"/>
    <w:rsid w:val="00F37B86"/>
    <w:rsid w:val="00F74E5E"/>
    <w:rsid w:val="00F83E65"/>
    <w:rsid w:val="00FA2C40"/>
    <w:rsid w:val="00FA7E65"/>
    <w:rsid w:val="00FB63D5"/>
    <w:rsid w:val="00FC04B9"/>
    <w:rsid w:val="00FC1B19"/>
    <w:rsid w:val="00FC38C1"/>
    <w:rsid w:val="00FD0D7E"/>
    <w:rsid w:val="00FD3851"/>
    <w:rsid w:val="00FE188F"/>
    <w:rsid w:val="00FF1FAB"/>
    <w:rsid w:val="013A07AC"/>
    <w:rsid w:val="01CC68D5"/>
    <w:rsid w:val="01FE50BC"/>
    <w:rsid w:val="02300265"/>
    <w:rsid w:val="02377367"/>
    <w:rsid w:val="0240285E"/>
    <w:rsid w:val="02536EB3"/>
    <w:rsid w:val="027628C1"/>
    <w:rsid w:val="02BE378E"/>
    <w:rsid w:val="02CD4500"/>
    <w:rsid w:val="02E65CAB"/>
    <w:rsid w:val="03136847"/>
    <w:rsid w:val="032125FF"/>
    <w:rsid w:val="032E18D0"/>
    <w:rsid w:val="033011B9"/>
    <w:rsid w:val="03542B62"/>
    <w:rsid w:val="0374404F"/>
    <w:rsid w:val="03993696"/>
    <w:rsid w:val="03A34738"/>
    <w:rsid w:val="03D6609D"/>
    <w:rsid w:val="04117D09"/>
    <w:rsid w:val="041C0CB1"/>
    <w:rsid w:val="04D141CD"/>
    <w:rsid w:val="04E93371"/>
    <w:rsid w:val="04EF5420"/>
    <w:rsid w:val="05181349"/>
    <w:rsid w:val="05386D2F"/>
    <w:rsid w:val="055B7332"/>
    <w:rsid w:val="056A798D"/>
    <w:rsid w:val="056F50C1"/>
    <w:rsid w:val="059A230B"/>
    <w:rsid w:val="05AF7B68"/>
    <w:rsid w:val="05BE29A4"/>
    <w:rsid w:val="05C704BC"/>
    <w:rsid w:val="05F00BCD"/>
    <w:rsid w:val="06035414"/>
    <w:rsid w:val="06040F9A"/>
    <w:rsid w:val="06170810"/>
    <w:rsid w:val="0622594A"/>
    <w:rsid w:val="062B4B0A"/>
    <w:rsid w:val="063C3FE7"/>
    <w:rsid w:val="066B5F00"/>
    <w:rsid w:val="0675224B"/>
    <w:rsid w:val="067B28EF"/>
    <w:rsid w:val="067E3EB5"/>
    <w:rsid w:val="06CD4B74"/>
    <w:rsid w:val="072314C0"/>
    <w:rsid w:val="074D4BD8"/>
    <w:rsid w:val="077547A1"/>
    <w:rsid w:val="078411C8"/>
    <w:rsid w:val="079E00C6"/>
    <w:rsid w:val="07A42E2C"/>
    <w:rsid w:val="07B363A1"/>
    <w:rsid w:val="07ED7261"/>
    <w:rsid w:val="087D641E"/>
    <w:rsid w:val="08A07369"/>
    <w:rsid w:val="08D67DE6"/>
    <w:rsid w:val="091B36AE"/>
    <w:rsid w:val="098C148C"/>
    <w:rsid w:val="09907294"/>
    <w:rsid w:val="09D50074"/>
    <w:rsid w:val="09DD0B13"/>
    <w:rsid w:val="09EA1F2A"/>
    <w:rsid w:val="0A0134D2"/>
    <w:rsid w:val="0A025FF9"/>
    <w:rsid w:val="0A2850F6"/>
    <w:rsid w:val="0A3026BA"/>
    <w:rsid w:val="0A4A3AE2"/>
    <w:rsid w:val="0A6B190B"/>
    <w:rsid w:val="0A9C5B25"/>
    <w:rsid w:val="0AC35E88"/>
    <w:rsid w:val="0B3B3C49"/>
    <w:rsid w:val="0B552CB2"/>
    <w:rsid w:val="0B66661D"/>
    <w:rsid w:val="0B7877C8"/>
    <w:rsid w:val="0B8F4228"/>
    <w:rsid w:val="0BC62F1C"/>
    <w:rsid w:val="0BE97A81"/>
    <w:rsid w:val="0C576560"/>
    <w:rsid w:val="0C933759"/>
    <w:rsid w:val="0CB202D8"/>
    <w:rsid w:val="0CB3034F"/>
    <w:rsid w:val="0CD1535F"/>
    <w:rsid w:val="0CEA7A5E"/>
    <w:rsid w:val="0D9E5BE6"/>
    <w:rsid w:val="0DAF2FB0"/>
    <w:rsid w:val="0DE03441"/>
    <w:rsid w:val="0E244ACE"/>
    <w:rsid w:val="0ECC0D8A"/>
    <w:rsid w:val="0EE70D61"/>
    <w:rsid w:val="0EFE798E"/>
    <w:rsid w:val="0F1D1F63"/>
    <w:rsid w:val="0F3D682F"/>
    <w:rsid w:val="0F6012E0"/>
    <w:rsid w:val="0F631318"/>
    <w:rsid w:val="0FA5251B"/>
    <w:rsid w:val="0FB60F8D"/>
    <w:rsid w:val="0FB8513C"/>
    <w:rsid w:val="0FBA092F"/>
    <w:rsid w:val="0FBC7FE4"/>
    <w:rsid w:val="101211F8"/>
    <w:rsid w:val="103E6C0E"/>
    <w:rsid w:val="106B20EB"/>
    <w:rsid w:val="108D4479"/>
    <w:rsid w:val="10961E87"/>
    <w:rsid w:val="10AD75EF"/>
    <w:rsid w:val="10F42301"/>
    <w:rsid w:val="11065D2C"/>
    <w:rsid w:val="1150266C"/>
    <w:rsid w:val="118D5786"/>
    <w:rsid w:val="11D26A85"/>
    <w:rsid w:val="1236016D"/>
    <w:rsid w:val="12527021"/>
    <w:rsid w:val="126A20AC"/>
    <w:rsid w:val="12907E1F"/>
    <w:rsid w:val="12D07CBD"/>
    <w:rsid w:val="12F03A8D"/>
    <w:rsid w:val="12FB1F1C"/>
    <w:rsid w:val="13037ED6"/>
    <w:rsid w:val="137B6010"/>
    <w:rsid w:val="13CD4BF1"/>
    <w:rsid w:val="13F34CA7"/>
    <w:rsid w:val="14087139"/>
    <w:rsid w:val="14391C5C"/>
    <w:rsid w:val="14694151"/>
    <w:rsid w:val="14864269"/>
    <w:rsid w:val="149013EC"/>
    <w:rsid w:val="1492043C"/>
    <w:rsid w:val="14D0385F"/>
    <w:rsid w:val="150B1731"/>
    <w:rsid w:val="152A2FC9"/>
    <w:rsid w:val="152E38AF"/>
    <w:rsid w:val="153D6DEC"/>
    <w:rsid w:val="15972E01"/>
    <w:rsid w:val="159E5897"/>
    <w:rsid w:val="15FE0B36"/>
    <w:rsid w:val="16126D17"/>
    <w:rsid w:val="16155210"/>
    <w:rsid w:val="1617420C"/>
    <w:rsid w:val="16174B99"/>
    <w:rsid w:val="163070EE"/>
    <w:rsid w:val="16362C2D"/>
    <w:rsid w:val="164A5F12"/>
    <w:rsid w:val="167A67DF"/>
    <w:rsid w:val="169D49D1"/>
    <w:rsid w:val="16F53929"/>
    <w:rsid w:val="176F4079"/>
    <w:rsid w:val="177F4193"/>
    <w:rsid w:val="18395506"/>
    <w:rsid w:val="184A069F"/>
    <w:rsid w:val="186E5D8B"/>
    <w:rsid w:val="188075F1"/>
    <w:rsid w:val="18BC72C8"/>
    <w:rsid w:val="18F60A16"/>
    <w:rsid w:val="190261A7"/>
    <w:rsid w:val="19406BCA"/>
    <w:rsid w:val="194A19B6"/>
    <w:rsid w:val="19B968FA"/>
    <w:rsid w:val="19C8471E"/>
    <w:rsid w:val="19F81BC6"/>
    <w:rsid w:val="1A4A5015"/>
    <w:rsid w:val="1A5538C6"/>
    <w:rsid w:val="1A5B3DAB"/>
    <w:rsid w:val="1A5C0DCD"/>
    <w:rsid w:val="1AF12911"/>
    <w:rsid w:val="1B4936D1"/>
    <w:rsid w:val="1B7E33AB"/>
    <w:rsid w:val="1BA71B66"/>
    <w:rsid w:val="1C2C60FF"/>
    <w:rsid w:val="1C3950EF"/>
    <w:rsid w:val="1C516DE1"/>
    <w:rsid w:val="1C9F368B"/>
    <w:rsid w:val="1CDA00B0"/>
    <w:rsid w:val="1D1539F9"/>
    <w:rsid w:val="1D3E52D1"/>
    <w:rsid w:val="1D3F2331"/>
    <w:rsid w:val="1D60611F"/>
    <w:rsid w:val="1D6B54AE"/>
    <w:rsid w:val="1D883451"/>
    <w:rsid w:val="1DDD42E3"/>
    <w:rsid w:val="1DE47FE4"/>
    <w:rsid w:val="1E030DC8"/>
    <w:rsid w:val="1E352383"/>
    <w:rsid w:val="1E413716"/>
    <w:rsid w:val="1E521BF4"/>
    <w:rsid w:val="1E6F1251"/>
    <w:rsid w:val="1E7F4E7D"/>
    <w:rsid w:val="1F472A93"/>
    <w:rsid w:val="1FD51345"/>
    <w:rsid w:val="1FF47788"/>
    <w:rsid w:val="1FFB70C6"/>
    <w:rsid w:val="2060339D"/>
    <w:rsid w:val="206904BF"/>
    <w:rsid w:val="210B020D"/>
    <w:rsid w:val="211E4253"/>
    <w:rsid w:val="21264EDF"/>
    <w:rsid w:val="216C52B6"/>
    <w:rsid w:val="218C3503"/>
    <w:rsid w:val="21A842C7"/>
    <w:rsid w:val="21AF2109"/>
    <w:rsid w:val="21B948C1"/>
    <w:rsid w:val="21C959D5"/>
    <w:rsid w:val="21E62BEC"/>
    <w:rsid w:val="21EB48C3"/>
    <w:rsid w:val="2252490D"/>
    <w:rsid w:val="227809D0"/>
    <w:rsid w:val="22926DCA"/>
    <w:rsid w:val="2293195D"/>
    <w:rsid w:val="22D44351"/>
    <w:rsid w:val="2308324D"/>
    <w:rsid w:val="23361551"/>
    <w:rsid w:val="23366094"/>
    <w:rsid w:val="23553444"/>
    <w:rsid w:val="238C4B1E"/>
    <w:rsid w:val="23C9760F"/>
    <w:rsid w:val="23E33E97"/>
    <w:rsid w:val="23EB7086"/>
    <w:rsid w:val="23EF74E8"/>
    <w:rsid w:val="245A4B65"/>
    <w:rsid w:val="248203C9"/>
    <w:rsid w:val="24A3232E"/>
    <w:rsid w:val="24BE3EE7"/>
    <w:rsid w:val="250E59A5"/>
    <w:rsid w:val="2540053D"/>
    <w:rsid w:val="25572EC0"/>
    <w:rsid w:val="25583F8F"/>
    <w:rsid w:val="25942A0A"/>
    <w:rsid w:val="25B2644E"/>
    <w:rsid w:val="25BE790E"/>
    <w:rsid w:val="25CF5599"/>
    <w:rsid w:val="25D804C5"/>
    <w:rsid w:val="260B5408"/>
    <w:rsid w:val="26160C5E"/>
    <w:rsid w:val="26301481"/>
    <w:rsid w:val="26596DA2"/>
    <w:rsid w:val="267B0B69"/>
    <w:rsid w:val="27055672"/>
    <w:rsid w:val="276D47EC"/>
    <w:rsid w:val="27A53E9F"/>
    <w:rsid w:val="27AE3794"/>
    <w:rsid w:val="27FB0559"/>
    <w:rsid w:val="28662B70"/>
    <w:rsid w:val="290E27B8"/>
    <w:rsid w:val="293911B4"/>
    <w:rsid w:val="296C6E71"/>
    <w:rsid w:val="298D1D5A"/>
    <w:rsid w:val="299327C4"/>
    <w:rsid w:val="29A55AC6"/>
    <w:rsid w:val="2A102E33"/>
    <w:rsid w:val="2A14318A"/>
    <w:rsid w:val="2A4F4169"/>
    <w:rsid w:val="2A5F6341"/>
    <w:rsid w:val="2A725463"/>
    <w:rsid w:val="2A903B65"/>
    <w:rsid w:val="2A9632DE"/>
    <w:rsid w:val="2AE835BC"/>
    <w:rsid w:val="2B4F3A96"/>
    <w:rsid w:val="2C67075F"/>
    <w:rsid w:val="2C6C1A64"/>
    <w:rsid w:val="2C763105"/>
    <w:rsid w:val="2C871C77"/>
    <w:rsid w:val="2C934F3A"/>
    <w:rsid w:val="2C9D73E4"/>
    <w:rsid w:val="2CA32A24"/>
    <w:rsid w:val="2CD4437F"/>
    <w:rsid w:val="2CE0580D"/>
    <w:rsid w:val="2CE3350E"/>
    <w:rsid w:val="2D2E2357"/>
    <w:rsid w:val="2D5C6165"/>
    <w:rsid w:val="2D95431B"/>
    <w:rsid w:val="2D9D23B7"/>
    <w:rsid w:val="2DA53D49"/>
    <w:rsid w:val="2DDD46D7"/>
    <w:rsid w:val="2DE64940"/>
    <w:rsid w:val="2E0715EA"/>
    <w:rsid w:val="2E365925"/>
    <w:rsid w:val="2E710F25"/>
    <w:rsid w:val="2E7C3A67"/>
    <w:rsid w:val="2E7E4C90"/>
    <w:rsid w:val="2ECF2BC6"/>
    <w:rsid w:val="2EE97CF6"/>
    <w:rsid w:val="2EF36210"/>
    <w:rsid w:val="2F43443B"/>
    <w:rsid w:val="2F504A9E"/>
    <w:rsid w:val="2F717EA7"/>
    <w:rsid w:val="2F7C1090"/>
    <w:rsid w:val="2FB0199E"/>
    <w:rsid w:val="2FBF6F5E"/>
    <w:rsid w:val="3009689E"/>
    <w:rsid w:val="303E1558"/>
    <w:rsid w:val="305B3C7D"/>
    <w:rsid w:val="306A79DD"/>
    <w:rsid w:val="30820253"/>
    <w:rsid w:val="30A0380E"/>
    <w:rsid w:val="30C21AC9"/>
    <w:rsid w:val="30E54651"/>
    <w:rsid w:val="313633F3"/>
    <w:rsid w:val="313F2733"/>
    <w:rsid w:val="314544DD"/>
    <w:rsid w:val="314A3D5B"/>
    <w:rsid w:val="316B25B6"/>
    <w:rsid w:val="31855E3D"/>
    <w:rsid w:val="31911E35"/>
    <w:rsid w:val="31927D00"/>
    <w:rsid w:val="319C4144"/>
    <w:rsid w:val="32204414"/>
    <w:rsid w:val="32536E98"/>
    <w:rsid w:val="32961A94"/>
    <w:rsid w:val="32B80440"/>
    <w:rsid w:val="32DE42FD"/>
    <w:rsid w:val="32FD0562"/>
    <w:rsid w:val="3332690B"/>
    <w:rsid w:val="334457E6"/>
    <w:rsid w:val="339F7E1A"/>
    <w:rsid w:val="33A74D70"/>
    <w:rsid w:val="340D04DF"/>
    <w:rsid w:val="34982340"/>
    <w:rsid w:val="34BA214A"/>
    <w:rsid w:val="34D96E0E"/>
    <w:rsid w:val="34E058A4"/>
    <w:rsid w:val="3517466A"/>
    <w:rsid w:val="3541567F"/>
    <w:rsid w:val="3555761B"/>
    <w:rsid w:val="35561891"/>
    <w:rsid w:val="35842796"/>
    <w:rsid w:val="35C42453"/>
    <w:rsid w:val="360A14DF"/>
    <w:rsid w:val="3649547D"/>
    <w:rsid w:val="364A3AEA"/>
    <w:rsid w:val="36745C03"/>
    <w:rsid w:val="36B24D54"/>
    <w:rsid w:val="36BD4AB8"/>
    <w:rsid w:val="36ED3C18"/>
    <w:rsid w:val="37492D4C"/>
    <w:rsid w:val="37CF70A9"/>
    <w:rsid w:val="380776D4"/>
    <w:rsid w:val="38B707F1"/>
    <w:rsid w:val="39267194"/>
    <w:rsid w:val="396341AB"/>
    <w:rsid w:val="398556D7"/>
    <w:rsid w:val="39897BF7"/>
    <w:rsid w:val="399E1441"/>
    <w:rsid w:val="39CB465D"/>
    <w:rsid w:val="39D22E88"/>
    <w:rsid w:val="3A052C3D"/>
    <w:rsid w:val="3A13730E"/>
    <w:rsid w:val="3A2200A7"/>
    <w:rsid w:val="3A6A4F48"/>
    <w:rsid w:val="3A923331"/>
    <w:rsid w:val="3AD16475"/>
    <w:rsid w:val="3AE81C1E"/>
    <w:rsid w:val="3AF74B45"/>
    <w:rsid w:val="3BAF2CE4"/>
    <w:rsid w:val="3BB6395F"/>
    <w:rsid w:val="3C013863"/>
    <w:rsid w:val="3C27601C"/>
    <w:rsid w:val="3C540446"/>
    <w:rsid w:val="3C580DD8"/>
    <w:rsid w:val="3CBF57D4"/>
    <w:rsid w:val="3CEE5D90"/>
    <w:rsid w:val="3D2A07D7"/>
    <w:rsid w:val="3D423410"/>
    <w:rsid w:val="3D8E5F6C"/>
    <w:rsid w:val="3DC9235F"/>
    <w:rsid w:val="3DE5343E"/>
    <w:rsid w:val="3DF25FED"/>
    <w:rsid w:val="3E045955"/>
    <w:rsid w:val="3E2928AA"/>
    <w:rsid w:val="3E415531"/>
    <w:rsid w:val="3E7C30D1"/>
    <w:rsid w:val="3EC373AA"/>
    <w:rsid w:val="3ED0655E"/>
    <w:rsid w:val="3EFC3F02"/>
    <w:rsid w:val="3FE3712D"/>
    <w:rsid w:val="4036451C"/>
    <w:rsid w:val="405139D2"/>
    <w:rsid w:val="40774519"/>
    <w:rsid w:val="40ED6EDE"/>
    <w:rsid w:val="41451DE3"/>
    <w:rsid w:val="421C341D"/>
    <w:rsid w:val="4226002E"/>
    <w:rsid w:val="425101DD"/>
    <w:rsid w:val="425813A7"/>
    <w:rsid w:val="425E3CE6"/>
    <w:rsid w:val="42662B39"/>
    <w:rsid w:val="42E2671F"/>
    <w:rsid w:val="42EB1794"/>
    <w:rsid w:val="43312EC1"/>
    <w:rsid w:val="43B006A9"/>
    <w:rsid w:val="43C37418"/>
    <w:rsid w:val="43F51823"/>
    <w:rsid w:val="44673A6C"/>
    <w:rsid w:val="44727382"/>
    <w:rsid w:val="4488447C"/>
    <w:rsid w:val="44E05F8D"/>
    <w:rsid w:val="452A2E9A"/>
    <w:rsid w:val="45A81610"/>
    <w:rsid w:val="45D17043"/>
    <w:rsid w:val="45F86314"/>
    <w:rsid w:val="463D1398"/>
    <w:rsid w:val="463D487E"/>
    <w:rsid w:val="46467996"/>
    <w:rsid w:val="467A71E9"/>
    <w:rsid w:val="46AE36CC"/>
    <w:rsid w:val="46CD5B27"/>
    <w:rsid w:val="472D4AE4"/>
    <w:rsid w:val="475A0E25"/>
    <w:rsid w:val="477433AA"/>
    <w:rsid w:val="47867564"/>
    <w:rsid w:val="47B13336"/>
    <w:rsid w:val="47B30856"/>
    <w:rsid w:val="47D21439"/>
    <w:rsid w:val="47EC2593"/>
    <w:rsid w:val="481D7858"/>
    <w:rsid w:val="4844501C"/>
    <w:rsid w:val="487D0486"/>
    <w:rsid w:val="487E6827"/>
    <w:rsid w:val="488D1BB3"/>
    <w:rsid w:val="489F3B56"/>
    <w:rsid w:val="48D55C81"/>
    <w:rsid w:val="48DC3DE4"/>
    <w:rsid w:val="49B56187"/>
    <w:rsid w:val="49C87B61"/>
    <w:rsid w:val="49E60E5D"/>
    <w:rsid w:val="4A1909A0"/>
    <w:rsid w:val="4A280604"/>
    <w:rsid w:val="4A4203AF"/>
    <w:rsid w:val="4A874B09"/>
    <w:rsid w:val="4AA8729E"/>
    <w:rsid w:val="4AF56EC6"/>
    <w:rsid w:val="4B4C02ED"/>
    <w:rsid w:val="4B777293"/>
    <w:rsid w:val="4BE618E3"/>
    <w:rsid w:val="4BEE44F2"/>
    <w:rsid w:val="4BF547E4"/>
    <w:rsid w:val="4C265DBB"/>
    <w:rsid w:val="4C452A2E"/>
    <w:rsid w:val="4C70693C"/>
    <w:rsid w:val="4C8537C9"/>
    <w:rsid w:val="4C957E34"/>
    <w:rsid w:val="4C9C21E9"/>
    <w:rsid w:val="4CA73341"/>
    <w:rsid w:val="4CA74208"/>
    <w:rsid w:val="4CC70070"/>
    <w:rsid w:val="4CF66DE9"/>
    <w:rsid w:val="4CFD5365"/>
    <w:rsid w:val="4D0A345D"/>
    <w:rsid w:val="4D0B1526"/>
    <w:rsid w:val="4D234ECE"/>
    <w:rsid w:val="4DC529C1"/>
    <w:rsid w:val="4DCB5250"/>
    <w:rsid w:val="4DD506A1"/>
    <w:rsid w:val="4F873962"/>
    <w:rsid w:val="4F92738F"/>
    <w:rsid w:val="4FA662CE"/>
    <w:rsid w:val="4FB63CF5"/>
    <w:rsid w:val="4FC17B04"/>
    <w:rsid w:val="4FFF2B45"/>
    <w:rsid w:val="500037D4"/>
    <w:rsid w:val="501410FA"/>
    <w:rsid w:val="50205D85"/>
    <w:rsid w:val="502305CE"/>
    <w:rsid w:val="50357AC2"/>
    <w:rsid w:val="50E20028"/>
    <w:rsid w:val="50EB273B"/>
    <w:rsid w:val="50F87889"/>
    <w:rsid w:val="514B229E"/>
    <w:rsid w:val="517860F3"/>
    <w:rsid w:val="51860E9E"/>
    <w:rsid w:val="519071BD"/>
    <w:rsid w:val="524A4D58"/>
    <w:rsid w:val="526841A9"/>
    <w:rsid w:val="526D1FC4"/>
    <w:rsid w:val="52955FB3"/>
    <w:rsid w:val="52960FF2"/>
    <w:rsid w:val="52F42575"/>
    <w:rsid w:val="534D12A4"/>
    <w:rsid w:val="53531B4B"/>
    <w:rsid w:val="536329BD"/>
    <w:rsid w:val="53647DA3"/>
    <w:rsid w:val="53731DE7"/>
    <w:rsid w:val="53BD5C40"/>
    <w:rsid w:val="5414133C"/>
    <w:rsid w:val="548D027F"/>
    <w:rsid w:val="54BA2EAE"/>
    <w:rsid w:val="54C43AE7"/>
    <w:rsid w:val="54FD5792"/>
    <w:rsid w:val="55A93686"/>
    <w:rsid w:val="55E114D5"/>
    <w:rsid w:val="564A3398"/>
    <w:rsid w:val="56C4107E"/>
    <w:rsid w:val="56FB55A6"/>
    <w:rsid w:val="57045D5A"/>
    <w:rsid w:val="578A7A88"/>
    <w:rsid w:val="578F58C9"/>
    <w:rsid w:val="582B1C27"/>
    <w:rsid w:val="5839310F"/>
    <w:rsid w:val="584552BF"/>
    <w:rsid w:val="58A65901"/>
    <w:rsid w:val="58EC44DE"/>
    <w:rsid w:val="59045508"/>
    <w:rsid w:val="5907764E"/>
    <w:rsid w:val="592120C0"/>
    <w:rsid w:val="592759AA"/>
    <w:rsid w:val="59331502"/>
    <w:rsid w:val="594C5E66"/>
    <w:rsid w:val="599778BB"/>
    <w:rsid w:val="59AB15BF"/>
    <w:rsid w:val="59E545C2"/>
    <w:rsid w:val="5A0443D6"/>
    <w:rsid w:val="5A401792"/>
    <w:rsid w:val="5A85102A"/>
    <w:rsid w:val="5A9F58AC"/>
    <w:rsid w:val="5B690751"/>
    <w:rsid w:val="5C1D1464"/>
    <w:rsid w:val="5C9E6A24"/>
    <w:rsid w:val="5CB937BA"/>
    <w:rsid w:val="5CC036D5"/>
    <w:rsid w:val="5D5E078B"/>
    <w:rsid w:val="5D81625E"/>
    <w:rsid w:val="5D906BF5"/>
    <w:rsid w:val="5DB47334"/>
    <w:rsid w:val="5DC33751"/>
    <w:rsid w:val="5E172770"/>
    <w:rsid w:val="5E317753"/>
    <w:rsid w:val="5E3D0404"/>
    <w:rsid w:val="5EC62701"/>
    <w:rsid w:val="5F23085A"/>
    <w:rsid w:val="5F54068C"/>
    <w:rsid w:val="5F6E31CD"/>
    <w:rsid w:val="5F8D7780"/>
    <w:rsid w:val="60286820"/>
    <w:rsid w:val="60555FE4"/>
    <w:rsid w:val="60CB4152"/>
    <w:rsid w:val="60CD632C"/>
    <w:rsid w:val="60CF3E48"/>
    <w:rsid w:val="60DC139E"/>
    <w:rsid w:val="60F40A4B"/>
    <w:rsid w:val="610F0A2B"/>
    <w:rsid w:val="612C42F2"/>
    <w:rsid w:val="612E74FF"/>
    <w:rsid w:val="61427D4E"/>
    <w:rsid w:val="616C4576"/>
    <w:rsid w:val="61AE3C5C"/>
    <w:rsid w:val="61C1436C"/>
    <w:rsid w:val="61C331AA"/>
    <w:rsid w:val="61DE537F"/>
    <w:rsid w:val="61FD7C20"/>
    <w:rsid w:val="62153A13"/>
    <w:rsid w:val="62543634"/>
    <w:rsid w:val="62571A8C"/>
    <w:rsid w:val="62717053"/>
    <w:rsid w:val="6284234E"/>
    <w:rsid w:val="62AC3082"/>
    <w:rsid w:val="62AE1103"/>
    <w:rsid w:val="62F62752"/>
    <w:rsid w:val="63075C78"/>
    <w:rsid w:val="63990AB5"/>
    <w:rsid w:val="63F03616"/>
    <w:rsid w:val="63F27705"/>
    <w:rsid w:val="645F16B8"/>
    <w:rsid w:val="647D06BF"/>
    <w:rsid w:val="64A0181F"/>
    <w:rsid w:val="64A324B6"/>
    <w:rsid w:val="64C54636"/>
    <w:rsid w:val="650961CA"/>
    <w:rsid w:val="650A4CE3"/>
    <w:rsid w:val="652F4849"/>
    <w:rsid w:val="653B6DB7"/>
    <w:rsid w:val="657B34F3"/>
    <w:rsid w:val="65A208EF"/>
    <w:rsid w:val="65A60C2C"/>
    <w:rsid w:val="65B6240C"/>
    <w:rsid w:val="65CA0FF0"/>
    <w:rsid w:val="65EE2C12"/>
    <w:rsid w:val="662B515E"/>
    <w:rsid w:val="66333A39"/>
    <w:rsid w:val="6640611A"/>
    <w:rsid w:val="66787AF8"/>
    <w:rsid w:val="66C47EC6"/>
    <w:rsid w:val="66D53FEE"/>
    <w:rsid w:val="66F73C73"/>
    <w:rsid w:val="67201A40"/>
    <w:rsid w:val="67515402"/>
    <w:rsid w:val="67521566"/>
    <w:rsid w:val="679B4A1A"/>
    <w:rsid w:val="67AB168B"/>
    <w:rsid w:val="67E836C7"/>
    <w:rsid w:val="680A1C1C"/>
    <w:rsid w:val="680A7425"/>
    <w:rsid w:val="68224AB7"/>
    <w:rsid w:val="68252ED2"/>
    <w:rsid w:val="683166D7"/>
    <w:rsid w:val="68371EB1"/>
    <w:rsid w:val="685A75E8"/>
    <w:rsid w:val="68615EDB"/>
    <w:rsid w:val="68F52B6F"/>
    <w:rsid w:val="68FD24D6"/>
    <w:rsid w:val="69017C1D"/>
    <w:rsid w:val="691A4459"/>
    <w:rsid w:val="692D0390"/>
    <w:rsid w:val="69556EB7"/>
    <w:rsid w:val="69843B70"/>
    <w:rsid w:val="69EA09A6"/>
    <w:rsid w:val="6A0551DE"/>
    <w:rsid w:val="6A120D25"/>
    <w:rsid w:val="6A2A5219"/>
    <w:rsid w:val="6AF93859"/>
    <w:rsid w:val="6B005FF4"/>
    <w:rsid w:val="6B0F5C47"/>
    <w:rsid w:val="6B125020"/>
    <w:rsid w:val="6B4500D3"/>
    <w:rsid w:val="6BD27171"/>
    <w:rsid w:val="6BFA7F32"/>
    <w:rsid w:val="6C5F7BAE"/>
    <w:rsid w:val="6C6F3A5A"/>
    <w:rsid w:val="6C963BCE"/>
    <w:rsid w:val="6CD57E67"/>
    <w:rsid w:val="6CF1031B"/>
    <w:rsid w:val="6D184D18"/>
    <w:rsid w:val="6D36084C"/>
    <w:rsid w:val="6D6738CE"/>
    <w:rsid w:val="6D9825D1"/>
    <w:rsid w:val="6DCE1423"/>
    <w:rsid w:val="6E0C201B"/>
    <w:rsid w:val="6EB9047F"/>
    <w:rsid w:val="6EC05DE2"/>
    <w:rsid w:val="6ED802A2"/>
    <w:rsid w:val="6F0A4E44"/>
    <w:rsid w:val="6F1131A7"/>
    <w:rsid w:val="6F6C51AB"/>
    <w:rsid w:val="6F8705F8"/>
    <w:rsid w:val="6FC54D50"/>
    <w:rsid w:val="6FFA45A1"/>
    <w:rsid w:val="70062EC5"/>
    <w:rsid w:val="701A1470"/>
    <w:rsid w:val="70327D19"/>
    <w:rsid w:val="70516DB9"/>
    <w:rsid w:val="70572659"/>
    <w:rsid w:val="706A04F0"/>
    <w:rsid w:val="70F62EA0"/>
    <w:rsid w:val="710E46EC"/>
    <w:rsid w:val="711E10D3"/>
    <w:rsid w:val="71324139"/>
    <w:rsid w:val="717C6EE8"/>
    <w:rsid w:val="71B37311"/>
    <w:rsid w:val="71F43D41"/>
    <w:rsid w:val="72046D2E"/>
    <w:rsid w:val="721D2A0D"/>
    <w:rsid w:val="722517F9"/>
    <w:rsid w:val="728523DB"/>
    <w:rsid w:val="72911A25"/>
    <w:rsid w:val="7375573E"/>
    <w:rsid w:val="73B04906"/>
    <w:rsid w:val="73CB0206"/>
    <w:rsid w:val="73D0560B"/>
    <w:rsid w:val="73DD45C2"/>
    <w:rsid w:val="74207C6A"/>
    <w:rsid w:val="7421270C"/>
    <w:rsid w:val="742A058B"/>
    <w:rsid w:val="746C0A17"/>
    <w:rsid w:val="74BA419B"/>
    <w:rsid w:val="74D41120"/>
    <w:rsid w:val="74EA6C4B"/>
    <w:rsid w:val="751B464E"/>
    <w:rsid w:val="755C07D6"/>
    <w:rsid w:val="757E009D"/>
    <w:rsid w:val="75CA4550"/>
    <w:rsid w:val="75E87AC0"/>
    <w:rsid w:val="75F414FC"/>
    <w:rsid w:val="763318E4"/>
    <w:rsid w:val="766D3633"/>
    <w:rsid w:val="76754CBB"/>
    <w:rsid w:val="76A851D6"/>
    <w:rsid w:val="76F81FC6"/>
    <w:rsid w:val="77127EBF"/>
    <w:rsid w:val="77535900"/>
    <w:rsid w:val="775C04C5"/>
    <w:rsid w:val="77753DAA"/>
    <w:rsid w:val="779E69B9"/>
    <w:rsid w:val="77A33325"/>
    <w:rsid w:val="77D26796"/>
    <w:rsid w:val="77DB2ADA"/>
    <w:rsid w:val="77DD60B4"/>
    <w:rsid w:val="77FD5769"/>
    <w:rsid w:val="78186CD6"/>
    <w:rsid w:val="782A4815"/>
    <w:rsid w:val="78656D33"/>
    <w:rsid w:val="789828EB"/>
    <w:rsid w:val="78A22D6F"/>
    <w:rsid w:val="78A9770C"/>
    <w:rsid w:val="78AB11DE"/>
    <w:rsid w:val="78CB590B"/>
    <w:rsid w:val="78D72BBA"/>
    <w:rsid w:val="79036C4A"/>
    <w:rsid w:val="792403B1"/>
    <w:rsid w:val="797804DF"/>
    <w:rsid w:val="79B774AA"/>
    <w:rsid w:val="79C917E8"/>
    <w:rsid w:val="7A2407B3"/>
    <w:rsid w:val="7A380AA1"/>
    <w:rsid w:val="7A933FC1"/>
    <w:rsid w:val="7B1153C0"/>
    <w:rsid w:val="7B43173F"/>
    <w:rsid w:val="7B4A5D58"/>
    <w:rsid w:val="7B823B87"/>
    <w:rsid w:val="7BE105FE"/>
    <w:rsid w:val="7C4272C0"/>
    <w:rsid w:val="7CA82D21"/>
    <w:rsid w:val="7D112490"/>
    <w:rsid w:val="7D1B3445"/>
    <w:rsid w:val="7D21671D"/>
    <w:rsid w:val="7D255511"/>
    <w:rsid w:val="7D5F6D3B"/>
    <w:rsid w:val="7D9D01C0"/>
    <w:rsid w:val="7DAD344E"/>
    <w:rsid w:val="7DD55341"/>
    <w:rsid w:val="7DFA229B"/>
    <w:rsid w:val="7E155EC9"/>
    <w:rsid w:val="7E5B4448"/>
    <w:rsid w:val="7E727180"/>
    <w:rsid w:val="7E8F16A4"/>
    <w:rsid w:val="7F113252"/>
    <w:rsid w:val="7F4D6E65"/>
    <w:rsid w:val="7F650ED9"/>
    <w:rsid w:val="7F8F63FA"/>
    <w:rsid w:val="7F916678"/>
    <w:rsid w:val="7FAD6D0C"/>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paragraph" w:customStyle="1" w:styleId="1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1AAE-A65A-4E69-A7A3-3CC3F67A330C}">
  <ds:schemaRefs/>
</ds:datastoreItem>
</file>

<file path=docProps/app.xml><?xml version="1.0" encoding="utf-8"?>
<Properties xmlns="http://schemas.openxmlformats.org/officeDocument/2006/extended-properties" xmlns:vt="http://schemas.openxmlformats.org/officeDocument/2006/docPropsVTypes">
  <Template>Normal</Template>
  <Pages>36</Pages>
  <Words>4788</Words>
  <Characters>27296</Characters>
  <Lines>227</Lines>
  <Paragraphs>64</Paragraphs>
  <TotalTime>53</TotalTime>
  <ScaleCrop>false</ScaleCrop>
  <LinksUpToDate>false</LinksUpToDate>
  <CharactersWithSpaces>32020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2025-01-09T03:24:00Z</dcterms:created>
  <dc:creator>xuchen.zhang</dc:creator>
  <cp:lastModifiedBy>yx01.hou</cp:lastModifiedBy>
  <cp:lastPrinted>2024-10-23T10:08:00Z</cp:lastPrinted>
  <dcterms:modified xsi:type="dcterms:W3CDTF">2025-10-31T06:39:33Z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115A95668FBC4FE493120814206CFB4D</vt:lpwstr>
  </property>
</Properties>
</file>