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黑体"/>
          <w:b/>
          <w:bCs/>
          <w:kern w:val="44"/>
          <w:sz w:val="32"/>
          <w:szCs w:val="32"/>
        </w:rPr>
      </w:pPr>
      <w:bookmarkStart w:id="0" w:name="Text7"/>
      <w:r>
        <w:rPr>
          <w:rFonts w:hint="eastAsia" w:ascii="Times New Roman" w:hAnsi="Times New Roman" w:eastAsia="黑体"/>
          <w:b/>
          <w:bCs/>
          <w:kern w:val="44"/>
          <w:sz w:val="32"/>
          <w:szCs w:val="32"/>
          <w:lang w:val="en-US" w:eastAsia="zh-CN" w:bidi="ar-SA"/>
        </w:rPr>
        <w:fldChar w:fldCharType="begin">
          <w:ffData>
            <w:name w:val="Text7"/>
            <w:enabled/>
            <w:calcOnExit w:val="0"/>
            <w:textInput>
              <w:default w:val="民生理财富竹固收优选14个月封闭46号"/>
            </w:textInput>
          </w:ffData>
        </w:fldChar>
      </w:r>
      <w:r>
        <w:rPr>
          <w:rFonts w:hint="eastAsia" w:ascii="Times New Roman" w:hAnsi="Times New Roman" w:eastAsia="黑体"/>
          <w:b/>
          <w:bCs/>
          <w:kern w:val="44"/>
          <w:sz w:val="32"/>
          <w:szCs w:val="32"/>
          <w:lang w:val="en-US" w:eastAsia="zh-CN" w:bidi="ar-SA"/>
        </w:rPr>
        <w:instrText xml:space="preserve">FORMTEXT</w:instrText>
      </w:r>
      <w:r>
        <w:rPr>
          <w:rFonts w:hint="eastAsia" w:ascii="Times New Roman" w:hAnsi="Times New Roman" w:eastAsia="黑体"/>
          <w:b/>
          <w:bCs/>
          <w:kern w:val="44"/>
          <w:sz w:val="32"/>
          <w:szCs w:val="32"/>
          <w:lang w:val="en-US" w:eastAsia="zh-CN" w:bidi="ar-SA"/>
        </w:rPr>
        <w:fldChar w:fldCharType="separate"/>
      </w:r>
      <w:r>
        <w:rPr>
          <w:rFonts w:hint="eastAsia" w:eastAsia="黑体"/>
          <w:b/>
          <w:bCs/>
          <w:kern w:val="44"/>
          <w:sz w:val="32"/>
          <w:szCs w:val="32"/>
          <w:lang w:val="en-US" w:eastAsia="zh-CN" w:bidi="ar-SA"/>
        </w:rPr>
        <w:t>民生理财富竹固收优选封闭114号</w:t>
      </w:r>
      <w:r>
        <w:rPr>
          <w:rFonts w:hint="eastAsia" w:ascii="Times New Roman" w:hAnsi="Times New Roman" w:eastAsia="黑体"/>
          <w:b/>
          <w:bCs/>
          <w:kern w:val="44"/>
          <w:sz w:val="32"/>
          <w:szCs w:val="32"/>
          <w:lang w:val="en-US" w:eastAsia="zh-CN" w:bidi="ar-SA"/>
        </w:rPr>
        <w:fldChar w:fldCharType="end"/>
      </w:r>
      <w:bookmarkEnd w:id="0"/>
    </w:p>
    <w:p>
      <w:pPr>
        <w:spacing w:line="360" w:lineRule="auto"/>
        <w:jc w:val="center"/>
        <w:rPr>
          <w:rFonts w:eastAsia="黑体"/>
          <w:b/>
          <w:bCs/>
          <w:kern w:val="44"/>
          <w:sz w:val="32"/>
          <w:szCs w:val="32"/>
        </w:rPr>
      </w:pPr>
      <w:r>
        <w:rPr>
          <w:rFonts w:eastAsia="黑体"/>
          <w:b/>
          <w:bCs/>
          <w:kern w:val="44"/>
          <w:sz w:val="32"/>
          <w:szCs w:val="32"/>
        </w:rPr>
        <w:t>理财产品说明书</w:t>
      </w:r>
    </w:p>
    <w:p>
      <w:pPr>
        <w:spacing w:line="360" w:lineRule="auto"/>
        <w:jc w:val="center"/>
        <w:rPr>
          <w:b/>
          <w:color w:val="000000"/>
          <w:kern w:val="44"/>
          <w:sz w:val="28"/>
          <w:szCs w:val="28"/>
        </w:rPr>
      </w:pPr>
      <w:r>
        <w:rPr>
          <w:b/>
          <w:color w:val="000000"/>
          <w:kern w:val="0"/>
          <w:sz w:val="28"/>
          <w:szCs w:val="28"/>
        </w:rPr>
        <w:t>全国银行业理财信息登记系统产品登记编码：</w:t>
      </w:r>
      <w:bookmarkStart w:id="1" w:name="Text16"/>
      <w:r>
        <w:rPr>
          <w:rFonts w:hint="eastAsia" w:ascii="Times New Roman" w:hAnsi="Times New Roman" w:eastAsia="宋体" w:cs="Times New Roman"/>
          <w:b/>
          <w:kern w:val="44"/>
          <w:sz w:val="28"/>
          <w:szCs w:val="28"/>
          <w:lang w:val="en-US" w:eastAsia="zh-CN" w:bidi="ar-SA"/>
        </w:rPr>
        <w:fldChar w:fldCharType="begin">
          <w:ffData>
            <w:name w:val="Text16"/>
            <w:enabled/>
            <w:calcOnExit w:val="0"/>
            <w:textInput>
              <w:default w:val="Z7007925000542"/>
            </w:textInput>
          </w:ffData>
        </w:fldChar>
      </w:r>
      <w:r>
        <w:rPr>
          <w:rFonts w:hint="eastAsia" w:ascii="Times New Roman" w:hAnsi="Times New Roman" w:eastAsia="宋体" w:cs="Times New Roman"/>
          <w:b/>
          <w:kern w:val="44"/>
          <w:sz w:val="28"/>
          <w:szCs w:val="28"/>
          <w:lang w:val="en-US" w:eastAsia="zh-CN" w:bidi="ar-SA"/>
        </w:rPr>
        <w:instrText xml:space="preserve">FORMTEXT</w:instrText>
      </w:r>
      <w:r>
        <w:rPr>
          <w:rFonts w:hint="eastAsia" w:ascii="Times New Roman" w:hAnsi="Times New Roman" w:eastAsia="宋体" w:cs="Times New Roman"/>
          <w:b/>
          <w:kern w:val="44"/>
          <w:sz w:val="28"/>
          <w:szCs w:val="28"/>
          <w:lang w:val="en-US" w:eastAsia="zh-CN" w:bidi="ar-SA"/>
        </w:rPr>
        <w:fldChar w:fldCharType="separate"/>
      </w:r>
      <w:r>
        <w:rPr>
          <w:rFonts w:hint="eastAsia" w:cs="Times New Roman"/>
          <w:b/>
          <w:kern w:val="44"/>
          <w:sz w:val="28"/>
          <w:szCs w:val="28"/>
          <w:lang w:val="en-US" w:eastAsia="zh-CN" w:bidi="ar-SA"/>
        </w:rPr>
        <w:t>Z7007925000780</w:t>
      </w:r>
      <w:r>
        <w:rPr>
          <w:rFonts w:hint="eastAsia" w:ascii="Times New Roman" w:hAnsi="Times New Roman" w:eastAsia="宋体" w:cs="Times New Roman"/>
          <w:b/>
          <w:kern w:val="44"/>
          <w:sz w:val="28"/>
          <w:szCs w:val="28"/>
          <w:lang w:val="en-US" w:eastAsia="zh-CN" w:bidi="ar-SA"/>
        </w:rPr>
        <w:fldChar w:fldCharType="end"/>
      </w:r>
      <w:bookmarkEnd w:id="1"/>
    </w:p>
    <w:p>
      <w:pPr>
        <w:pStyle w:val="6"/>
        <w:jc w:val="center"/>
      </w:pPr>
      <w:r>
        <w:rPr>
          <w:rFonts w:hint="default" w:ascii="Times New Roman" w:hAnsi="Times New Roman" w:eastAsia="宋体"/>
          <w:b/>
          <w:bCs/>
          <w:kern w:val="44"/>
          <w:highlight w:val="none"/>
          <w:lang w:eastAsia="zh-CN"/>
        </w:rPr>
        <w:fldChar w:fldCharType="begin">
          <w:ffData>
            <w:name w:val="Text51"/>
            <w:enabled/>
            <w:calcOnExit w:val="0"/>
            <w:textInput>
              <w:default w:val="（投资者可依据该编码在中国理财网www.chinawealth.com.cn查询产品信息）"/>
            </w:textInput>
          </w:ffData>
        </w:fldChar>
      </w:r>
      <w:r>
        <w:rPr>
          <w:rFonts w:hint="default" w:ascii="Times New Roman" w:hAnsi="Times New Roman" w:eastAsia="宋体"/>
          <w:b/>
          <w:bCs/>
          <w:kern w:val="44"/>
          <w:highlight w:val="none"/>
          <w:lang w:eastAsia="zh-CN"/>
        </w:rPr>
        <w:instrText xml:space="preserve">FORMTEXT</w:instrText>
      </w:r>
      <w:r>
        <w:rPr>
          <w:rFonts w:hint="default" w:ascii="Times New Roman" w:hAnsi="Times New Roman" w:eastAsia="宋体"/>
          <w:b/>
          <w:bCs/>
          <w:kern w:val="44"/>
          <w:highlight w:val="none"/>
          <w:lang w:eastAsia="zh-CN"/>
        </w:rPr>
        <w:fldChar w:fldCharType="separate"/>
      </w:r>
      <w:r>
        <w:rPr>
          <w:rFonts w:hint="default" w:ascii="Times New Roman" w:hAnsi="Times New Roman" w:eastAsia="宋体"/>
          <w:b/>
          <w:bCs/>
          <w:kern w:val="44"/>
          <w:highlight w:val="none"/>
          <w:lang w:eastAsia="zh-CN"/>
        </w:rPr>
        <w:t>（投资者可依据该编码在中国理财网www.chinawealth.com.cn查询产品信息）</w:t>
      </w:r>
      <w:r>
        <w:rPr>
          <w:rFonts w:hint="default" w:ascii="Times New Roman" w:hAnsi="Times New Roman" w:eastAsia="宋体"/>
          <w:b/>
          <w:bCs/>
          <w:kern w:val="44"/>
          <w:highlight w:val="none"/>
          <w:lang w:eastAsia="zh-CN"/>
        </w:rPr>
        <w:fldChar w:fldCharType="end"/>
      </w:r>
    </w:p>
    <w:p>
      <w:pPr>
        <w:spacing w:line="360" w:lineRule="auto"/>
        <w:jc w:val="center"/>
        <w:rPr>
          <w:b/>
          <w:bCs/>
          <w:color w:val="000000"/>
          <w:kern w:val="0"/>
          <w:sz w:val="32"/>
          <w:szCs w:val="32"/>
        </w:rPr>
      </w:pPr>
      <w:r>
        <w:rPr>
          <w:b/>
          <w:bCs/>
          <w:color w:val="000000"/>
          <w:kern w:val="0"/>
          <w:sz w:val="32"/>
          <w:szCs w:val="32"/>
        </w:rPr>
        <w:t>重要须知</w:t>
      </w:r>
    </w:p>
    <w:p>
      <w:pPr>
        <w:spacing w:line="360" w:lineRule="auto"/>
        <w:ind w:firstLine="420" w:firstLineChars="200"/>
        <w:rPr>
          <w:b/>
          <w:bCs/>
          <w:color w:val="000000"/>
          <w:kern w:val="0"/>
        </w:rPr>
      </w:pPr>
      <w:r>
        <w:rPr>
          <w:rFonts w:eastAsia="微软雅黑"/>
          <w:b/>
          <w:bCs/>
          <w:color w:val="000000"/>
          <w:kern w:val="0"/>
        </w:rPr>
        <w:t xml:space="preserve">▲ </w:t>
      </w:r>
      <w:r>
        <w:rPr>
          <w:b/>
          <w:bCs/>
          <w:color w:val="000000"/>
          <w:kern w:val="0"/>
        </w:rPr>
        <w:t>1. 本理财产品仅向依据中华人民共和国有关法律法规及其他监管规定可以购买本类理财产品的投资者发售。</w:t>
      </w:r>
    </w:p>
    <w:p>
      <w:pPr>
        <w:spacing w:line="360" w:lineRule="auto"/>
        <w:ind w:firstLine="420" w:firstLineChars="200"/>
        <w:rPr>
          <w:b/>
          <w:bCs/>
          <w:color w:val="000000"/>
          <w:kern w:val="0"/>
        </w:rPr>
      </w:pPr>
      <w:r>
        <w:rPr>
          <w:rFonts w:eastAsia="微软雅黑"/>
          <w:b/>
          <w:bCs/>
          <w:color w:val="000000"/>
          <w:kern w:val="0"/>
        </w:rPr>
        <w:t xml:space="preserve">▲ </w:t>
      </w:r>
      <w:r>
        <w:rPr>
          <w:b/>
          <w:bCs/>
          <w:color w:val="000000"/>
          <w:kern w:val="0"/>
        </w:rPr>
        <w:t>2. 本理财产品与存款存在明显区别，不保证本理财产品本金及收益，具有一定的风险。请投资者根据自身理财目标、投资经验、财务状况、风险承受能力以及其他相关情况慎重考虑购买本理财产品。投资者可能面临投资本金和收益遭受部分甚至全部损失的风险。</w:t>
      </w:r>
    </w:p>
    <w:p>
      <w:pPr>
        <w:spacing w:line="360" w:lineRule="auto"/>
        <w:ind w:firstLine="420" w:firstLineChars="200"/>
        <w:rPr>
          <w:b/>
          <w:bCs/>
          <w:color w:val="000000"/>
          <w:kern w:val="0"/>
        </w:rPr>
      </w:pPr>
      <w:r>
        <w:rPr>
          <w:rFonts w:eastAsia="微软雅黑"/>
          <w:b/>
          <w:bCs/>
          <w:color w:val="000000"/>
          <w:kern w:val="0"/>
        </w:rPr>
        <w:t xml:space="preserve">▲ </w:t>
      </w:r>
      <w:r>
        <w:rPr>
          <w:b/>
          <w:bCs/>
          <w:color w:val="000000"/>
          <w:kern w:val="0"/>
        </w:rPr>
        <w:t>3. 您的本金可能因市场变动而蒙受相应损失，投资者应充分认识投资风险，谨慎投资；本理财产品过往业绩不代表其未来表现，不等于理财产品实际收益，投资须谨慎；理财非存款、产品有风险、投资须谨慎。</w:t>
      </w:r>
    </w:p>
    <w:p>
      <w:pPr>
        <w:spacing w:line="360" w:lineRule="auto"/>
        <w:ind w:firstLine="420" w:firstLineChars="200"/>
        <w:rPr>
          <w:b/>
          <w:bCs/>
          <w:color w:val="000000"/>
          <w:kern w:val="0"/>
        </w:rPr>
      </w:pPr>
      <w:r>
        <w:rPr>
          <w:rFonts w:eastAsia="微软雅黑"/>
          <w:b/>
          <w:bCs/>
          <w:color w:val="000000"/>
          <w:kern w:val="0"/>
        </w:rPr>
        <w:t xml:space="preserve">▲ </w:t>
      </w:r>
      <w:r>
        <w:rPr>
          <w:b/>
          <w:bCs/>
          <w:color w:val="000000"/>
          <w:kern w:val="0"/>
        </w:rPr>
        <w:t>4. 包括</w:t>
      </w:r>
      <w:r>
        <w:rPr>
          <w:b/>
          <w:bCs/>
        </w:rPr>
        <w:t>《风险揭示书》《理财产品说明书》《投资者权益须知》</w:t>
      </w:r>
      <w:r>
        <w:rPr>
          <w:b/>
          <w:bCs/>
          <w:color w:val="000000"/>
          <w:kern w:val="0"/>
        </w:rPr>
        <w:t>《投资协议书》</w:t>
      </w:r>
      <w:r>
        <w:rPr>
          <w:b/>
          <w:bCs/>
        </w:rPr>
        <w:t>《</w:t>
      </w:r>
      <w:r>
        <w:rPr>
          <w:b/>
          <w:bCs/>
          <w:color w:val="000000"/>
          <w:kern w:val="0"/>
        </w:rPr>
        <w:t>代理销售协议书》及与理财产品对应的</w:t>
      </w:r>
      <w:r>
        <w:rPr>
          <w:rFonts w:hint="eastAsia"/>
          <w:b/>
          <w:bCs/>
          <w:color w:val="000000"/>
          <w:kern w:val="0"/>
        </w:rPr>
        <w:t>《</w:t>
      </w:r>
      <w:r>
        <w:rPr>
          <w:b/>
          <w:bCs/>
          <w:color w:val="000000"/>
          <w:kern w:val="0"/>
        </w:rPr>
        <w:t>理财产品公告》等相关文件共同构成本理财产品完整的不可分割的理财产品合同。请投资者注意投资风险，仔细阅读本理财产品合同，了解理财产品具体情况。</w:t>
      </w:r>
    </w:p>
    <w:p>
      <w:pPr>
        <w:spacing w:line="360" w:lineRule="auto"/>
        <w:ind w:firstLine="420" w:firstLineChars="200"/>
        <w:rPr>
          <w:b/>
          <w:bCs/>
          <w:color w:val="000000"/>
          <w:kern w:val="0"/>
        </w:rPr>
      </w:pPr>
      <w:r>
        <w:rPr>
          <w:rFonts w:eastAsia="微软雅黑"/>
          <w:b/>
          <w:bCs/>
          <w:color w:val="000000"/>
          <w:kern w:val="0"/>
        </w:rPr>
        <w:t xml:space="preserve">▲ </w:t>
      </w:r>
      <w:r>
        <w:rPr>
          <w:b/>
          <w:bCs/>
          <w:color w:val="000000"/>
          <w:kern w:val="0"/>
        </w:rPr>
        <w:t>5. 本理财产品的任何业绩比较基准、业绩比较基准区间等类似表述均属不具有法律约束力的用语，不代表投资者可能获得的实际收益，亦不构成管理人对本理财产品的任何收益承诺。</w:t>
      </w:r>
    </w:p>
    <w:p>
      <w:pPr>
        <w:spacing w:line="360" w:lineRule="auto"/>
        <w:ind w:firstLine="420" w:firstLineChars="200"/>
        <w:rPr>
          <w:b/>
          <w:bCs/>
          <w:color w:val="000000"/>
          <w:kern w:val="0"/>
        </w:rPr>
      </w:pPr>
      <w:r>
        <w:rPr>
          <w:rFonts w:eastAsia="微软雅黑"/>
          <w:b/>
          <w:bCs/>
          <w:color w:val="000000"/>
          <w:kern w:val="0"/>
        </w:rPr>
        <w:t xml:space="preserve">▲ </w:t>
      </w:r>
      <w:r>
        <w:rPr>
          <w:b/>
          <w:bCs/>
          <w:color w:val="000000"/>
          <w:kern w:val="0"/>
        </w:rPr>
        <w:t>6. 投资者不得使用贷款、发行债券等筹集的，相关法规要求不得用于购买理财产品的非自有资金购买本理财产品。</w:t>
      </w:r>
    </w:p>
    <w:p>
      <w:pPr>
        <w:spacing w:line="360" w:lineRule="auto"/>
        <w:ind w:firstLine="420" w:firstLineChars="200"/>
        <w:rPr>
          <w:b/>
          <w:bCs/>
          <w:szCs w:val="21"/>
        </w:rPr>
      </w:pPr>
      <w:r>
        <w:rPr>
          <w:rFonts w:eastAsia="微软雅黑"/>
          <w:b/>
          <w:bCs/>
          <w:color w:val="000000"/>
          <w:kern w:val="0"/>
        </w:rPr>
        <w:t xml:space="preserve">▲ </w:t>
      </w:r>
      <w:r>
        <w:rPr>
          <w:b/>
          <w:bCs/>
          <w:color w:val="000000"/>
          <w:kern w:val="0"/>
        </w:rPr>
        <w:t xml:space="preserve">7. </w:t>
      </w:r>
      <w:r>
        <w:rPr>
          <w:b/>
          <w:bCs/>
          <w:szCs w:val="21"/>
        </w:rPr>
        <w:t>在本理财产品存续期内，如因法律法规、监管政策及市场情况发生变化，管理人在不损害投资者利益的前提下，有权单方对本理财产品合同条款进行修订。</w:t>
      </w:r>
    </w:p>
    <w:p>
      <w:pPr>
        <w:spacing w:line="360" w:lineRule="auto"/>
        <w:ind w:firstLine="420" w:firstLineChars="200"/>
        <w:rPr>
          <w:b/>
          <w:bCs/>
          <w:color w:val="000000"/>
          <w:kern w:val="0"/>
        </w:rPr>
      </w:pPr>
      <w:r>
        <w:rPr>
          <w:rFonts w:eastAsia="微软雅黑"/>
          <w:b/>
          <w:bCs/>
          <w:color w:val="000000"/>
          <w:kern w:val="0"/>
        </w:rPr>
        <w:t>▲</w:t>
      </w:r>
      <w:r>
        <w:rPr>
          <w:b/>
          <w:bCs/>
          <w:color w:val="000000"/>
          <w:kern w:val="0"/>
        </w:rPr>
        <w:t xml:space="preserve"> 8. 本理财产品根据理财产品合同所载内容进行操作。若投资者对本理财产品有任何疑问或投诉，请拨打</w:t>
      </w:r>
      <w:r>
        <w:rPr>
          <w:rFonts w:hint="eastAsia"/>
          <w:b/>
          <w:bCs/>
          <w:color w:val="000000"/>
          <w:kern w:val="0"/>
        </w:rPr>
        <w:t>管理人</w:t>
      </w:r>
      <w:r>
        <w:rPr>
          <w:b/>
          <w:bCs/>
          <w:color w:val="000000"/>
          <w:kern w:val="0"/>
        </w:rPr>
        <w:t>或</w:t>
      </w:r>
      <w:r>
        <w:rPr>
          <w:rFonts w:hint="eastAsia"/>
          <w:b/>
          <w:bCs/>
          <w:color w:val="000000"/>
          <w:kern w:val="0"/>
        </w:rPr>
        <w:t>代理销售机构</w:t>
      </w:r>
      <w:r>
        <w:rPr>
          <w:b/>
          <w:bCs/>
          <w:color w:val="000000"/>
          <w:kern w:val="0"/>
        </w:rPr>
        <w:t>的</w:t>
      </w:r>
      <w:r>
        <w:rPr>
          <w:b/>
          <w:bCs/>
          <w:kern w:val="0"/>
        </w:rPr>
        <w:t>客户服务热线</w:t>
      </w:r>
      <w:r>
        <w:rPr>
          <w:b/>
          <w:bCs/>
          <w:color w:val="000000"/>
          <w:kern w:val="0"/>
        </w:rPr>
        <w:t>或到</w:t>
      </w:r>
      <w:r>
        <w:rPr>
          <w:rFonts w:hint="eastAsia"/>
          <w:b/>
          <w:bCs/>
          <w:color w:val="000000"/>
          <w:kern w:val="0"/>
        </w:rPr>
        <w:t>管理人</w:t>
      </w:r>
      <w:r>
        <w:rPr>
          <w:b/>
          <w:bCs/>
          <w:color w:val="000000"/>
          <w:kern w:val="0"/>
        </w:rPr>
        <w:t>或</w:t>
      </w:r>
      <w:r>
        <w:rPr>
          <w:rFonts w:hint="eastAsia"/>
          <w:b/>
          <w:bCs/>
          <w:color w:val="000000"/>
          <w:kern w:val="0"/>
        </w:rPr>
        <w:t>代理销售机构</w:t>
      </w:r>
      <w:r>
        <w:rPr>
          <w:b/>
          <w:bCs/>
          <w:color w:val="000000"/>
          <w:kern w:val="0"/>
        </w:rPr>
        <w:t>的营业网点进行咨询或投诉。</w:t>
      </w:r>
    </w:p>
    <w:p>
      <w:pPr>
        <w:spacing w:line="360" w:lineRule="auto"/>
        <w:ind w:firstLine="420" w:firstLineChars="200"/>
        <w:rPr>
          <w:b/>
          <w:bCs/>
        </w:rPr>
      </w:pPr>
      <w:r>
        <w:rPr>
          <w:rFonts w:eastAsia="微软雅黑"/>
          <w:b/>
          <w:bCs/>
          <w:color w:val="000000"/>
          <w:kern w:val="0"/>
        </w:rPr>
        <w:t>▲</w:t>
      </w:r>
      <w:r>
        <w:rPr>
          <w:rFonts w:hint="eastAsia" w:eastAsia="微软雅黑"/>
          <w:b/>
          <w:bCs/>
          <w:color w:val="000000"/>
          <w:kern w:val="0"/>
        </w:rPr>
        <w:t xml:space="preserve"> </w:t>
      </w:r>
      <w:r>
        <w:rPr>
          <w:rFonts w:eastAsia="微软雅黑"/>
          <w:b/>
          <w:bCs/>
          <w:color w:val="000000"/>
          <w:kern w:val="0"/>
        </w:rPr>
        <w:t>9</w:t>
      </w:r>
      <w:r>
        <w:rPr>
          <w:b/>
          <w:bCs/>
          <w:color w:val="000000"/>
          <w:kern w:val="0"/>
        </w:rPr>
        <w:t>. 在购买本理财产品后，投资者应随时关注本理财产品的信息披露情况，及时获取相关信息，相关信息以</w:t>
      </w:r>
      <w:r>
        <w:rPr>
          <w:b/>
          <w:bCs/>
        </w:rPr>
        <w:t>《理财产品说明书》约定的信息披露方式披露为准。</w:t>
      </w:r>
    </w:p>
    <w:p>
      <w:pPr>
        <w:spacing w:line="360" w:lineRule="auto"/>
        <w:ind w:firstLine="420" w:firstLineChars="200"/>
      </w:pPr>
      <w:r>
        <w:rPr>
          <w:rFonts w:eastAsia="微软雅黑"/>
          <w:b/>
          <w:bCs/>
          <w:color w:val="000000"/>
          <w:kern w:val="0"/>
        </w:rPr>
        <w:t>▲</w:t>
      </w:r>
      <w:r>
        <w:rPr>
          <w:rFonts w:hint="eastAsia" w:eastAsia="微软雅黑"/>
          <w:b/>
          <w:bCs/>
          <w:color w:val="000000"/>
          <w:kern w:val="0"/>
        </w:rPr>
        <w:t xml:space="preserve"> </w:t>
      </w:r>
      <w:r>
        <w:rPr>
          <w:rFonts w:eastAsia="微软雅黑"/>
          <w:b/>
          <w:bCs/>
          <w:color w:val="000000"/>
          <w:kern w:val="0"/>
        </w:rPr>
        <w:t>10</w:t>
      </w:r>
      <w:r>
        <w:rPr>
          <w:b/>
          <w:bCs/>
          <w:color w:val="000000"/>
          <w:kern w:val="0"/>
        </w:rPr>
        <w:t>. 根据监管机构、银行业理财登记托管中心关于银行理财登记工作及数据报送工作的通知要求，管理人将对监管机构报送投资者身份信息、每日交易、持仓等信息。后续监管机构和银行业理财登记托管中心等机关如果提出新的信息报送要求，管理人将按照该等机关的要求执行。投资者购买本理财产品即视为已经同意管理人将投资者身份信息、每日持有份额信息等报送监管机构等相关机构。</w:t>
      </w:r>
    </w:p>
    <w:p>
      <w:pPr>
        <w:spacing w:line="360" w:lineRule="auto"/>
        <w:ind w:firstLine="420" w:firstLineChars="200"/>
      </w:pPr>
      <w:r>
        <w:rPr>
          <w:rFonts w:eastAsia="微软雅黑"/>
          <w:b/>
          <w:bCs/>
          <w:color w:val="000000"/>
          <w:kern w:val="0"/>
        </w:rPr>
        <w:t>▲</w:t>
      </w:r>
      <w:r>
        <w:rPr>
          <w:rFonts w:hint="eastAsia" w:eastAsia="微软雅黑"/>
          <w:b/>
          <w:bCs/>
          <w:color w:val="000000"/>
          <w:kern w:val="0"/>
        </w:rPr>
        <w:t xml:space="preserve"> </w:t>
      </w:r>
      <w:r>
        <w:rPr>
          <w:rFonts w:eastAsia="微软雅黑"/>
          <w:b/>
          <w:bCs/>
          <w:color w:val="000000"/>
          <w:kern w:val="0"/>
        </w:rPr>
        <w:t>11</w:t>
      </w:r>
      <w:r>
        <w:rPr>
          <w:b/>
          <w:bCs/>
          <w:color w:val="000000"/>
          <w:kern w:val="0"/>
        </w:rPr>
        <w:t>. 根据监管机构的要求，其他管理人（此处特指本理财产品管理人之外的其他管理人，包括但不限于本理财产品投资的信托计划/公募基金/资管计划等资管产品的受托人、管理人、相关投资顾问等）有可能需要向监管机构报送投资者身份信息、持有份额信息等相关信息，本理财产品的管理人将应其他管理人的申请，在必要范围内向其他管理人提供相关信息，并要求该等管理人履行投资者信息保密义务。投资者购买本理财产品即视为已经同意管理人在前述范围内向相关方提供投资者身份信息、每日持有份额信息等相关信息。</w:t>
      </w:r>
      <w:r>
        <w:t xml:space="preserve"> </w:t>
      </w:r>
    </w:p>
    <w:p>
      <w:pPr>
        <w:spacing w:line="360" w:lineRule="auto"/>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pPr>
        <w:spacing w:line="360" w:lineRule="auto"/>
        <w:jc w:val="center"/>
        <w:rPr>
          <w:b/>
          <w:bCs/>
          <w:color w:val="000000"/>
          <w:kern w:val="0"/>
          <w:sz w:val="32"/>
          <w:szCs w:val="32"/>
        </w:rPr>
      </w:pPr>
      <w:r>
        <w:rPr>
          <w:b/>
          <w:bCs/>
          <w:color w:val="000000"/>
          <w:kern w:val="0"/>
          <w:sz w:val="32"/>
          <w:szCs w:val="32"/>
        </w:rPr>
        <w:t>名词释义</w:t>
      </w:r>
    </w:p>
    <w:p>
      <w:pPr>
        <w:autoSpaceDE w:val="0"/>
        <w:autoSpaceDN w:val="0"/>
        <w:adjustRightInd w:val="0"/>
        <w:spacing w:line="360" w:lineRule="auto"/>
        <w:ind w:firstLine="420" w:firstLineChars="200"/>
        <w:rPr>
          <w:color w:val="000000"/>
          <w:kern w:val="0"/>
        </w:rPr>
      </w:pPr>
      <w:r>
        <w:rPr>
          <w:color w:val="000000"/>
          <w:kern w:val="0"/>
        </w:rPr>
        <w:t>在理财产品合同中，除非另有明确说明，否则下列词语具有如下含义：</w:t>
      </w:r>
    </w:p>
    <w:p>
      <w:pPr>
        <w:autoSpaceDE w:val="0"/>
        <w:autoSpaceDN w:val="0"/>
        <w:adjustRightInd w:val="0"/>
        <w:spacing w:line="360" w:lineRule="auto"/>
        <w:ind w:firstLine="422" w:firstLineChars="200"/>
        <w:rPr>
          <w:color w:val="000000"/>
          <w:kern w:val="0"/>
        </w:rPr>
      </w:pPr>
      <w:r>
        <w:rPr>
          <w:b/>
          <w:bCs/>
          <w:color w:val="000000"/>
          <w:kern w:val="0"/>
        </w:rPr>
        <w:t>1. 理财产品/产品：</w:t>
      </w:r>
      <w:r>
        <w:rPr>
          <w:color w:val="000000"/>
          <w:kern w:val="0"/>
        </w:rPr>
        <w:t>指【</w:t>
      </w:r>
      <w:bookmarkStart w:id="2" w:name="Text35"/>
      <w:r>
        <w:rPr>
          <w:rFonts w:hint="eastAsia" w:ascii="Times New Roman" w:hAnsi="Times New Roman"/>
          <w:color w:val="000000"/>
          <w:kern w:val="0"/>
          <w:sz w:val="21"/>
          <w:szCs w:val="24"/>
          <w:lang w:val="en-US" w:eastAsia="zh-CN" w:bidi="ar-SA"/>
        </w:rPr>
        <w:fldChar w:fldCharType="begin">
          <w:ffData>
            <w:name w:val="Text35"/>
            <w:enabled/>
            <w:calcOnExit w:val="0"/>
            <w:textInput>
              <w:default w:val="民生理财富竹固收优选14个月封闭46号"/>
            </w:textInput>
          </w:ffData>
        </w:fldChar>
      </w:r>
      <w:r>
        <w:rPr>
          <w:rFonts w:hint="eastAsia" w:ascii="Times New Roman" w:hAnsi="Times New Roman"/>
          <w:color w:val="000000"/>
          <w:kern w:val="0"/>
          <w:sz w:val="21"/>
          <w:szCs w:val="24"/>
          <w:lang w:val="en-US" w:eastAsia="zh-CN" w:bidi="ar-SA"/>
        </w:rPr>
        <w:instrText xml:space="preserve">FORMTEXT</w:instrText>
      </w:r>
      <w:r>
        <w:rPr>
          <w:rFonts w:hint="eastAsia" w:ascii="Times New Roman" w:hAnsi="Times New Roman"/>
          <w:color w:val="000000"/>
          <w:kern w:val="0"/>
          <w:sz w:val="21"/>
          <w:szCs w:val="24"/>
          <w:lang w:val="en-US" w:eastAsia="zh-CN" w:bidi="ar-SA"/>
        </w:rPr>
        <w:fldChar w:fldCharType="separate"/>
      </w:r>
      <w:r>
        <w:rPr>
          <w:rFonts w:hint="eastAsia"/>
          <w:color w:val="000000"/>
          <w:kern w:val="0"/>
          <w:sz w:val="21"/>
          <w:szCs w:val="24"/>
          <w:lang w:val="en-US" w:eastAsia="zh-CN" w:bidi="ar-SA"/>
        </w:rPr>
        <w:t>民生理财富竹固收优选封闭114号</w:t>
      </w:r>
      <w:r>
        <w:rPr>
          <w:rFonts w:hint="eastAsia" w:ascii="Times New Roman" w:hAnsi="Times New Roman"/>
          <w:color w:val="000000"/>
          <w:kern w:val="0"/>
          <w:sz w:val="21"/>
          <w:szCs w:val="24"/>
          <w:lang w:val="en-US" w:eastAsia="zh-CN" w:bidi="ar-SA"/>
        </w:rPr>
        <w:fldChar w:fldCharType="end"/>
      </w:r>
      <w:bookmarkEnd w:id="2"/>
      <w:r>
        <w:rPr>
          <w:color w:val="000000"/>
          <w:kern w:val="0"/>
        </w:rPr>
        <w:t>理财产品】。</w:t>
      </w:r>
    </w:p>
    <w:p>
      <w:pPr>
        <w:autoSpaceDE w:val="0"/>
        <w:autoSpaceDN w:val="0"/>
        <w:adjustRightInd w:val="0"/>
        <w:spacing w:line="360" w:lineRule="auto"/>
        <w:ind w:firstLine="422" w:firstLineChars="200"/>
        <w:rPr>
          <w:b/>
          <w:bCs/>
          <w:color w:val="000000"/>
          <w:kern w:val="0"/>
        </w:rPr>
      </w:pPr>
      <w:r>
        <w:rPr>
          <w:b/>
          <w:bCs/>
          <w:color w:val="000000"/>
          <w:kern w:val="0"/>
        </w:rPr>
        <w:t>2. 管理人/发行机构：</w:t>
      </w:r>
      <w:r>
        <w:rPr>
          <w:color w:val="000000"/>
          <w:kern w:val="0"/>
        </w:rPr>
        <w:t>指民生理财有限责任公司（简称</w:t>
      </w:r>
      <w:r>
        <w:rPr>
          <w:rFonts w:hint="eastAsia"/>
          <w:color w:val="000000"/>
          <w:kern w:val="0"/>
        </w:rPr>
        <w:t>“</w:t>
      </w:r>
      <w:r>
        <w:rPr>
          <w:color w:val="000000"/>
          <w:kern w:val="0"/>
        </w:rPr>
        <w:t>民生理财</w:t>
      </w:r>
      <w:r>
        <w:rPr>
          <w:rFonts w:hint="eastAsia"/>
          <w:color w:val="000000"/>
          <w:kern w:val="0"/>
        </w:rPr>
        <w:t>”</w:t>
      </w:r>
      <w:r>
        <w:rPr>
          <w:color w:val="000000"/>
          <w:kern w:val="0"/>
        </w:rPr>
        <w:t>）。</w:t>
      </w:r>
    </w:p>
    <w:p>
      <w:pPr>
        <w:autoSpaceDE w:val="0"/>
        <w:autoSpaceDN w:val="0"/>
        <w:adjustRightInd w:val="0"/>
        <w:spacing w:line="360" w:lineRule="auto"/>
        <w:ind w:firstLine="422" w:firstLineChars="200"/>
        <w:rPr>
          <w:color w:val="000000"/>
          <w:kern w:val="0"/>
        </w:rPr>
      </w:pPr>
      <w:r>
        <w:rPr>
          <w:b/>
          <w:bCs/>
          <w:color w:val="000000"/>
          <w:kern w:val="0"/>
        </w:rPr>
        <w:t>3. 托管人：</w:t>
      </w:r>
      <w:r>
        <w:rPr>
          <w:color w:val="000000"/>
          <w:kern w:val="0"/>
        </w:rPr>
        <w:t>指</w:t>
      </w:r>
      <w:r>
        <w:rPr>
          <w:color w:val="000000"/>
          <w:kern w:val="0"/>
        </w:rPr>
        <w:fldChar w:fldCharType="begin">
          <w:ffData>
            <w:name w:val="Text15"/>
            <w:enabled/>
            <w:calcOnExit w:val="0"/>
            <w:textInput/>
          </w:ffData>
        </w:fldChar>
      </w:r>
      <w:r>
        <w:rPr>
          <w:color w:val="000000"/>
          <w:kern w:val="0"/>
        </w:rPr>
        <w:instrText xml:space="preserve">FORMTEXT</w:instrText>
      </w:r>
      <w:r>
        <w:rPr>
          <w:color w:val="000000"/>
          <w:kern w:val="0"/>
        </w:rPr>
        <w:fldChar w:fldCharType="separate"/>
      </w:r>
      <w:r>
        <w:rPr>
          <w:color w:val="000000"/>
          <w:kern w:val="0"/>
        </w:rPr>
        <w:t>中国民生银行股份有限公司</w:t>
      </w:r>
      <w:r>
        <w:rPr>
          <w:color w:val="000000"/>
          <w:kern w:val="0"/>
        </w:rPr>
        <w:fldChar w:fldCharType="end"/>
      </w:r>
      <w:r>
        <w:rPr>
          <w:color w:val="000000"/>
          <w:kern w:val="0"/>
        </w:rPr>
        <w:t>（简称</w:t>
      </w:r>
      <w:r>
        <w:rPr>
          <w:rFonts w:hint="eastAsia"/>
          <w:color w:val="000000"/>
          <w:kern w:val="0"/>
        </w:rPr>
        <w:t>“</w:t>
      </w:r>
      <w:r>
        <w:rPr>
          <w:color w:val="000000"/>
          <w:kern w:val="0"/>
        </w:rPr>
        <w:fldChar w:fldCharType="begin">
          <w:ffData>
            <w:name w:val="Text26"/>
            <w:enabled/>
            <w:calcOnExit w:val="0"/>
            <w:textInput/>
          </w:ffData>
        </w:fldChar>
      </w:r>
      <w:r>
        <w:rPr>
          <w:color w:val="000000"/>
          <w:kern w:val="0"/>
        </w:rPr>
        <w:instrText xml:space="preserve">FORMTEXT</w:instrText>
      </w:r>
      <w:r>
        <w:rPr>
          <w:color w:val="000000"/>
          <w:kern w:val="0"/>
        </w:rPr>
        <w:fldChar w:fldCharType="separate"/>
      </w:r>
      <w:r>
        <w:rPr>
          <w:color w:val="000000"/>
          <w:kern w:val="0"/>
        </w:rPr>
        <w:t>民生银行</w:t>
      </w:r>
      <w:r>
        <w:rPr>
          <w:color w:val="000000"/>
          <w:kern w:val="0"/>
        </w:rPr>
        <w:fldChar w:fldCharType="end"/>
      </w:r>
      <w:r>
        <w:rPr>
          <w:rFonts w:hint="eastAsia"/>
          <w:color w:val="000000"/>
          <w:kern w:val="0"/>
        </w:rPr>
        <w:t>”</w:t>
      </w:r>
      <w:r>
        <w:rPr>
          <w:color w:val="000000"/>
          <w:kern w:val="0"/>
        </w:rPr>
        <w:t>）。</w:t>
      </w:r>
    </w:p>
    <w:p>
      <w:pPr>
        <w:autoSpaceDE w:val="0"/>
        <w:autoSpaceDN w:val="0"/>
        <w:adjustRightInd w:val="0"/>
        <w:spacing w:line="360" w:lineRule="auto"/>
        <w:ind w:firstLine="420" w:firstLineChars="200"/>
        <w:rPr>
          <w:color w:val="000000"/>
          <w:kern w:val="0"/>
        </w:rPr>
      </w:pPr>
      <w:r>
        <w:rPr>
          <w:color w:val="000000"/>
          <w:kern w:val="0"/>
        </w:rPr>
        <w:t>4</w:t>
      </w:r>
      <w:r>
        <w:rPr>
          <w:b/>
          <w:bCs/>
          <w:color w:val="000000"/>
          <w:kern w:val="0"/>
        </w:rPr>
        <w:t xml:space="preserve">. </w:t>
      </w:r>
      <w:r>
        <w:rPr>
          <w:rFonts w:hint="eastAsia"/>
          <w:b/>
          <w:bCs/>
          <w:color w:val="000000"/>
          <w:kern w:val="0"/>
        </w:rPr>
        <w:t>代理销售机构</w:t>
      </w:r>
      <w:r>
        <w:rPr>
          <w:b/>
          <w:bCs/>
          <w:color w:val="000000"/>
          <w:kern w:val="0"/>
        </w:rPr>
        <w:t>：</w:t>
      </w:r>
      <w:r>
        <w:rPr>
          <w:color w:val="000000"/>
          <w:kern w:val="0"/>
        </w:rPr>
        <w:t>指符合相关法律法规、监管规定要求的，</w:t>
      </w:r>
      <w:r>
        <w:rPr>
          <w:rFonts w:hint="eastAsia"/>
          <w:color w:val="000000"/>
          <w:kern w:val="0"/>
        </w:rPr>
        <w:t>取得理财产品销售资格并与管理人签订了代理销售合作协议，</w:t>
      </w:r>
      <w:r>
        <w:rPr>
          <w:color w:val="000000"/>
          <w:kern w:val="0"/>
        </w:rPr>
        <w:t>接受管理人委托</w:t>
      </w:r>
      <w:r>
        <w:rPr>
          <w:rFonts w:hint="eastAsia"/>
          <w:color w:val="000000"/>
          <w:kern w:val="0"/>
        </w:rPr>
        <w:t>，代为办理</w:t>
      </w:r>
      <w:r>
        <w:rPr>
          <w:color w:val="000000"/>
          <w:kern w:val="0"/>
        </w:rPr>
        <w:t>理财产品销售</w:t>
      </w:r>
      <w:r>
        <w:rPr>
          <w:rFonts w:hint="eastAsia"/>
          <w:color w:val="000000"/>
          <w:kern w:val="0"/>
        </w:rPr>
        <w:t>业务的</w:t>
      </w:r>
      <w:r>
        <w:rPr>
          <w:color w:val="000000"/>
          <w:kern w:val="0"/>
        </w:rPr>
        <w:t>机构。</w:t>
      </w:r>
    </w:p>
    <w:p>
      <w:pPr>
        <w:autoSpaceDE w:val="0"/>
        <w:autoSpaceDN w:val="0"/>
        <w:adjustRightInd w:val="0"/>
        <w:spacing w:line="360" w:lineRule="auto"/>
        <w:ind w:firstLine="422" w:firstLineChars="200"/>
        <w:rPr>
          <w:b/>
          <w:bCs/>
          <w:color w:val="000000"/>
          <w:kern w:val="0"/>
        </w:rPr>
      </w:pPr>
      <w:r>
        <w:rPr>
          <w:b/>
          <w:bCs/>
          <w:color w:val="000000"/>
          <w:kern w:val="0"/>
        </w:rPr>
        <w:t>5. 投资者：</w:t>
      </w:r>
      <w:r>
        <w:rPr>
          <w:color w:val="000000"/>
          <w:kern w:val="0"/>
        </w:rPr>
        <w:t>指符合相关法律法规、监管规定要求的，可以购买理财产品的自然人、法人和其他组织。其中，个人投资者指符合相关法律法规、监管规定要求的，经投资风险承受能力评估体系评定为适合的自然人；机构投资者指符合相关法律法规、监管规定要求的法人和其他组织。个人投资者和机构投资者统称为投资者。</w:t>
      </w:r>
      <w:r>
        <w:rPr>
          <w:b/>
          <w:bCs/>
          <w:color w:val="000000"/>
          <w:kern w:val="0"/>
        </w:rPr>
        <w:t xml:space="preserve"> </w:t>
      </w:r>
    </w:p>
    <w:p>
      <w:pPr>
        <w:autoSpaceDE w:val="0"/>
        <w:autoSpaceDN w:val="0"/>
        <w:adjustRightInd w:val="0"/>
        <w:spacing w:line="360" w:lineRule="auto"/>
        <w:ind w:firstLine="422" w:firstLineChars="200"/>
        <w:rPr>
          <w:b/>
          <w:bCs/>
          <w:color w:val="000000"/>
          <w:kern w:val="0"/>
        </w:rPr>
      </w:pPr>
      <w:r>
        <w:rPr>
          <w:b/>
          <w:bCs/>
          <w:color w:val="000000"/>
          <w:kern w:val="0"/>
        </w:rPr>
        <w:t>6. 理财产品份额：</w:t>
      </w:r>
      <w:r>
        <w:rPr>
          <w:color w:val="000000"/>
          <w:kern w:val="0"/>
        </w:rPr>
        <w:t>指投资者持有的理财产品单位数额。投资者基于其所持有的理财产品单位数额享有理财产品利益、承担理财产品风险。</w:t>
      </w:r>
      <w:r>
        <w:rPr>
          <w:b/>
          <w:bCs/>
          <w:color w:val="000000"/>
          <w:kern w:val="0"/>
        </w:rPr>
        <w:t xml:space="preserve"> </w:t>
      </w:r>
    </w:p>
    <w:p>
      <w:pPr>
        <w:autoSpaceDE w:val="0"/>
        <w:autoSpaceDN w:val="0"/>
        <w:adjustRightInd w:val="0"/>
        <w:spacing w:line="360" w:lineRule="auto"/>
        <w:ind w:firstLine="422" w:firstLineChars="200"/>
        <w:rPr>
          <w:b/>
          <w:bCs/>
          <w:color w:val="000000"/>
          <w:kern w:val="0"/>
        </w:rPr>
      </w:pPr>
      <w:r>
        <w:rPr>
          <w:b/>
          <w:bCs/>
          <w:color w:val="000000"/>
          <w:kern w:val="0"/>
        </w:rPr>
        <w:t>7. 理财产品资产总值/理财产品总资产：</w:t>
      </w:r>
      <w:r>
        <w:rPr>
          <w:color w:val="000000"/>
          <w:kern w:val="0"/>
        </w:rPr>
        <w:t>指理财产品拥有的各类有价证券、银行存款本息、应收款项和其他资产的价值总和。</w:t>
      </w:r>
    </w:p>
    <w:p>
      <w:pPr>
        <w:autoSpaceDE w:val="0"/>
        <w:autoSpaceDN w:val="0"/>
        <w:adjustRightInd w:val="0"/>
        <w:spacing w:line="360" w:lineRule="auto"/>
        <w:ind w:firstLine="422" w:firstLineChars="200"/>
        <w:rPr>
          <w:color w:val="000000"/>
          <w:kern w:val="0"/>
        </w:rPr>
      </w:pPr>
      <w:r>
        <w:rPr>
          <w:b/>
          <w:bCs/>
          <w:color w:val="000000"/>
          <w:kern w:val="0"/>
        </w:rPr>
        <w:t>8. 理财产品资产净值/理财产品净资产：</w:t>
      </w:r>
      <w:r>
        <w:rPr>
          <w:color w:val="000000"/>
          <w:kern w:val="0"/>
        </w:rPr>
        <w:t xml:space="preserve">指理财产品资产总值减去各项理财产品负债后的价值。理财产品负债是指产品运作及融资时形成的融资资金本息、应付各项费用（包括托管费、销售费、固定管理费、业绩报酬、其他费用等）、应付税金及其他应付款项等。 </w:t>
      </w:r>
    </w:p>
    <w:p>
      <w:pPr>
        <w:autoSpaceDE w:val="0"/>
        <w:autoSpaceDN w:val="0"/>
        <w:adjustRightInd w:val="0"/>
        <w:spacing w:line="360" w:lineRule="auto"/>
        <w:ind w:firstLine="422" w:firstLineChars="200"/>
        <w:rPr>
          <w:color w:val="000000"/>
          <w:kern w:val="0"/>
        </w:rPr>
      </w:pPr>
      <w:r>
        <w:rPr>
          <w:b/>
          <w:bCs/>
          <w:color w:val="000000"/>
          <w:kern w:val="0"/>
        </w:rPr>
        <w:t>9. 理财产品单位净值/理财产品份额净值/份额净值：</w:t>
      </w:r>
      <w:r>
        <w:rPr>
          <w:color w:val="000000"/>
          <w:kern w:val="0"/>
        </w:rPr>
        <w:t xml:space="preserve">指估值日理财产品资产净值除以估值日理财产品份额总数后得到的理财产品单位份额价值，投资者按该理财产品单位净值获得产品终止时的分配。 </w:t>
      </w:r>
    </w:p>
    <w:p>
      <w:pPr>
        <w:autoSpaceDE w:val="0"/>
        <w:autoSpaceDN w:val="0"/>
        <w:adjustRightInd w:val="0"/>
        <w:spacing w:line="360" w:lineRule="auto"/>
        <w:ind w:firstLine="422" w:firstLineChars="200"/>
        <w:rPr>
          <w:color w:val="000000"/>
          <w:kern w:val="0"/>
        </w:rPr>
      </w:pPr>
      <w:r>
        <w:rPr>
          <w:b/>
          <w:bCs/>
          <w:color w:val="000000"/>
          <w:kern w:val="0"/>
        </w:rPr>
        <w:t>10. 理财产品累计净值/理财产品份额累计净值/份额累计净值：</w:t>
      </w:r>
      <w:r>
        <w:rPr>
          <w:color w:val="000000"/>
          <w:kern w:val="0"/>
        </w:rPr>
        <w:t>指理财产品单位净值与产品成立后历次累计单位收益分配的总和。</w:t>
      </w:r>
    </w:p>
    <w:p>
      <w:pPr>
        <w:autoSpaceDE w:val="0"/>
        <w:autoSpaceDN w:val="0"/>
        <w:adjustRightInd w:val="0"/>
        <w:spacing w:line="360" w:lineRule="auto"/>
        <w:ind w:firstLine="422" w:firstLineChars="200"/>
        <w:rPr>
          <w:b/>
          <w:bCs/>
          <w:color w:val="000000"/>
          <w:kern w:val="0"/>
        </w:rPr>
      </w:pPr>
      <w:r>
        <w:rPr>
          <w:b/>
          <w:bCs/>
          <w:color w:val="000000"/>
          <w:kern w:val="0"/>
        </w:rPr>
        <w:t>11. 理财产品估值：</w:t>
      </w:r>
      <w:r>
        <w:rPr>
          <w:color w:val="000000"/>
          <w:kern w:val="0"/>
        </w:rPr>
        <w:t>指计算评估理财产品资产和负债的价值，以确定理财产品资产净值和理财产品单位净值的过程。</w:t>
      </w:r>
    </w:p>
    <w:p>
      <w:pPr>
        <w:autoSpaceDE w:val="0"/>
        <w:autoSpaceDN w:val="0"/>
        <w:adjustRightInd w:val="0"/>
        <w:spacing w:line="360" w:lineRule="auto"/>
        <w:ind w:firstLine="422" w:firstLineChars="200"/>
        <w:rPr>
          <w:b/>
          <w:bCs/>
          <w:color w:val="000000"/>
          <w:kern w:val="0"/>
        </w:rPr>
      </w:pPr>
      <w:r>
        <w:rPr>
          <w:b/>
          <w:bCs/>
          <w:color w:val="000000"/>
          <w:kern w:val="0"/>
        </w:rPr>
        <w:t>12. 业绩比较基准：指管理人基于过往投资经验及对理财产品存续期内市场波动的预判而对本理财产品设定的投资目标，业绩比较基准不代表本理财产品的未来表现和实际收益，亦不构成管理人对本理财产品的收益承诺。</w:t>
      </w:r>
    </w:p>
    <w:p>
      <w:pPr>
        <w:autoSpaceDE w:val="0"/>
        <w:autoSpaceDN w:val="0"/>
        <w:adjustRightInd w:val="0"/>
        <w:spacing w:line="360" w:lineRule="auto"/>
        <w:ind w:firstLine="422" w:firstLineChars="200"/>
        <w:rPr>
          <w:color w:val="000000"/>
          <w:kern w:val="0"/>
        </w:rPr>
      </w:pPr>
      <w:r>
        <w:rPr>
          <w:b/>
          <w:bCs/>
          <w:color w:val="000000"/>
          <w:kern w:val="0"/>
        </w:rPr>
        <w:t>13. 收益分配基准日：</w:t>
      </w:r>
      <w:r>
        <w:rPr>
          <w:color w:val="000000"/>
          <w:kern w:val="0"/>
        </w:rPr>
        <w:t>指管理人根据投资情况，以该日可供分配利润为上限确定向投资</w:t>
      </w:r>
      <w:r>
        <w:rPr>
          <w:rFonts w:hint="eastAsia"/>
          <w:color w:val="000000"/>
          <w:kern w:val="0"/>
        </w:rPr>
        <w:t>者</w:t>
      </w:r>
      <w:r>
        <w:rPr>
          <w:color w:val="000000"/>
          <w:kern w:val="0"/>
        </w:rPr>
        <w:t>分配收益的日期，管理人将根据投资情况决定分配收益分配基准日的全部或部分可供分配利润。</w:t>
      </w:r>
      <w:r>
        <w:t>管理人应及时向投资者披露收益分配基准日等收益分配信息。</w:t>
      </w:r>
    </w:p>
    <w:p>
      <w:pPr>
        <w:autoSpaceDE w:val="0"/>
        <w:autoSpaceDN w:val="0"/>
        <w:adjustRightInd w:val="0"/>
        <w:spacing w:line="360" w:lineRule="auto"/>
        <w:ind w:firstLine="422" w:firstLineChars="200"/>
        <w:rPr>
          <w:color w:val="000000"/>
          <w:kern w:val="0"/>
        </w:rPr>
      </w:pPr>
      <w:r>
        <w:rPr>
          <w:b/>
          <w:bCs/>
          <w:color w:val="000000"/>
          <w:kern w:val="0"/>
        </w:rPr>
        <w:t>14. 工作日：</w:t>
      </w:r>
      <w:r>
        <w:rPr>
          <w:color w:val="000000"/>
          <w:kern w:val="0"/>
        </w:rPr>
        <w:t>指国家法定工作日。</w:t>
      </w:r>
    </w:p>
    <w:p>
      <w:pPr>
        <w:autoSpaceDE w:val="0"/>
        <w:autoSpaceDN w:val="0"/>
        <w:adjustRightInd w:val="0"/>
        <w:spacing w:line="360" w:lineRule="auto"/>
        <w:ind w:firstLine="422" w:firstLineChars="200"/>
        <w:rPr>
          <w:color w:val="000000"/>
          <w:kern w:val="0"/>
        </w:rPr>
      </w:pPr>
      <w:r>
        <w:rPr>
          <w:b/>
          <w:bCs/>
          <w:color w:val="000000"/>
          <w:kern w:val="0"/>
        </w:rPr>
        <w:t>15. 交易日：</w:t>
      </w:r>
      <w:r>
        <w:rPr>
          <w:color w:val="000000"/>
          <w:kern w:val="0"/>
        </w:rPr>
        <w:fldChar w:fldCharType="begin">
          <w:ffData>
            <w:name w:val="Text2"/>
            <w:enabled/>
            <w:calcOnExit w:val="0"/>
            <w:textInput>
              <w:default w:val="指上海证券交易所、深圳证券交易所、北京证券交易所的正常交易日。"/>
            </w:textInput>
          </w:ffData>
        </w:fldChar>
      </w:r>
      <w:r>
        <w:rPr>
          <w:color w:val="000000"/>
          <w:kern w:val="0"/>
        </w:rPr>
        <w:instrText xml:space="preserve">FORMTEXT</w:instrText>
      </w:r>
      <w:r>
        <w:rPr>
          <w:color w:val="000000"/>
          <w:kern w:val="0"/>
        </w:rPr>
        <w:fldChar w:fldCharType="separate"/>
      </w:r>
      <w:r>
        <w:rPr>
          <w:color w:val="000000"/>
          <w:kern w:val="0"/>
        </w:rPr>
        <w:t>指上海证券交易所、深圳证券交易所、北京证券交易所的正常交易日。</w:t>
      </w:r>
      <w:r>
        <w:rPr>
          <w:color w:val="000000"/>
          <w:kern w:val="0"/>
        </w:rPr>
        <w:fldChar w:fldCharType="end"/>
      </w:r>
    </w:p>
    <w:p>
      <w:pPr>
        <w:autoSpaceDE w:val="0"/>
        <w:autoSpaceDN w:val="0"/>
        <w:adjustRightInd w:val="0"/>
        <w:spacing w:line="360" w:lineRule="auto"/>
        <w:ind w:firstLine="422" w:firstLineChars="200"/>
        <w:rPr>
          <w:b/>
          <w:bCs/>
          <w:color w:val="000000"/>
          <w:kern w:val="0"/>
        </w:rPr>
      </w:pPr>
      <w:r>
        <w:rPr>
          <w:b/>
          <w:bCs/>
          <w:color w:val="000000"/>
          <w:kern w:val="0"/>
        </w:rPr>
        <w:t>16.</w:t>
      </w:r>
      <w:r>
        <w:rPr>
          <w:color w:val="000000"/>
          <w:kern w:val="0"/>
        </w:rPr>
        <w:t xml:space="preserve"> </w:t>
      </w:r>
      <w:r>
        <w:rPr>
          <w:b/>
          <w:bCs/>
          <w:color w:val="000000"/>
          <w:kern w:val="0"/>
        </w:rPr>
        <w:t>成立日：</w:t>
      </w:r>
      <w:r>
        <w:rPr>
          <w:color w:val="000000"/>
          <w:kern w:val="0"/>
        </w:rPr>
        <w:t>指产品募集期结束后，如果本理财产品满足成立条件，通常募集期结束后的第一个工作日为理财产品成立日。</w:t>
      </w:r>
    </w:p>
    <w:p>
      <w:pPr>
        <w:autoSpaceDE w:val="0"/>
        <w:autoSpaceDN w:val="0"/>
        <w:adjustRightInd w:val="0"/>
        <w:spacing w:line="360" w:lineRule="auto"/>
        <w:ind w:firstLine="422" w:firstLineChars="200"/>
        <w:rPr>
          <w:b/>
          <w:bCs/>
          <w:color w:val="000000"/>
          <w:kern w:val="0"/>
        </w:rPr>
      </w:pPr>
      <w:r>
        <w:rPr>
          <w:b/>
          <w:bCs/>
          <w:color w:val="000000"/>
          <w:kern w:val="0"/>
        </w:rPr>
        <w:t>17. 募集期：</w:t>
      </w:r>
      <w:r>
        <w:rPr>
          <w:color w:val="000000"/>
          <w:kern w:val="0"/>
        </w:rPr>
        <w:t>指自理财产品份额发售之日起至发售结束之日止的期间。</w:t>
      </w:r>
    </w:p>
    <w:p>
      <w:pPr>
        <w:autoSpaceDE w:val="0"/>
        <w:autoSpaceDN w:val="0"/>
        <w:adjustRightInd w:val="0"/>
        <w:spacing w:line="360" w:lineRule="auto"/>
        <w:ind w:firstLine="422" w:firstLineChars="200"/>
        <w:rPr>
          <w:color w:val="000000"/>
          <w:kern w:val="0"/>
        </w:rPr>
      </w:pPr>
      <w:r>
        <w:rPr>
          <w:b/>
          <w:bCs/>
          <w:color w:val="000000"/>
          <w:kern w:val="0"/>
        </w:rPr>
        <w:t>18. 存续期：</w:t>
      </w:r>
      <w:r>
        <w:rPr>
          <w:color w:val="000000"/>
          <w:kern w:val="0"/>
        </w:rPr>
        <w:t xml:space="preserve">指自理财产品成立日起，至理财产品终止日的期间。 </w:t>
      </w:r>
    </w:p>
    <w:p>
      <w:pPr>
        <w:autoSpaceDE w:val="0"/>
        <w:autoSpaceDN w:val="0"/>
        <w:adjustRightInd w:val="0"/>
        <w:spacing w:line="360" w:lineRule="auto"/>
        <w:ind w:firstLine="422" w:firstLineChars="200"/>
        <w:rPr>
          <w:color w:val="000000"/>
          <w:kern w:val="0"/>
        </w:rPr>
      </w:pPr>
      <w:r>
        <w:rPr>
          <w:rFonts w:hint="eastAsia"/>
          <w:b/>
          <w:bCs/>
          <w:color w:val="000000"/>
          <w:kern w:val="0"/>
        </w:rPr>
        <w:t>19</w:t>
      </w:r>
      <w:r>
        <w:rPr>
          <w:rFonts w:eastAsia="Times New Roman"/>
          <w:b/>
          <w:bCs/>
          <w:color w:val="000000"/>
          <w:kern w:val="0"/>
        </w:rPr>
        <w:t>. 终止日：</w:t>
      </w:r>
      <w:r>
        <w:rPr>
          <w:color w:val="000000"/>
          <w:kern w:val="0"/>
        </w:rPr>
        <w:t>指本理财产品终止日，包括理财产品预计到期日（适用理财产品不存在提前或延期终止情形）、提前终止之日（适用本理财产品提前终止情形）及延期终止之日（适用本理财产品延期终止情形）。</w:t>
      </w:r>
    </w:p>
    <w:p>
      <w:pPr>
        <w:autoSpaceDE w:val="0"/>
        <w:autoSpaceDN w:val="0"/>
        <w:adjustRightInd w:val="0"/>
        <w:spacing w:line="360" w:lineRule="auto"/>
        <w:ind w:firstLine="422" w:firstLineChars="200"/>
        <w:rPr>
          <w:b/>
          <w:bCs/>
          <w:color w:val="000000"/>
          <w:kern w:val="0"/>
        </w:rPr>
      </w:pPr>
      <w:r>
        <w:rPr>
          <w:rFonts w:hint="eastAsia"/>
          <w:b/>
          <w:bCs/>
          <w:color w:val="000000"/>
          <w:kern w:val="0"/>
        </w:rPr>
        <w:t>20</w:t>
      </w:r>
      <w:r>
        <w:rPr>
          <w:b/>
          <w:bCs/>
          <w:color w:val="000000"/>
          <w:kern w:val="0"/>
        </w:rPr>
        <w:t>. 产品认购/认购：</w:t>
      </w:r>
      <w:r>
        <w:rPr>
          <w:color w:val="000000"/>
          <w:kern w:val="0"/>
        </w:rPr>
        <w:t>指在理财产品募集期内，投资者申请购买理财产品份额的行为。</w:t>
      </w:r>
    </w:p>
    <w:p>
      <w:pPr>
        <w:autoSpaceDE w:val="0"/>
        <w:autoSpaceDN w:val="0"/>
        <w:adjustRightInd w:val="0"/>
        <w:spacing w:line="360" w:lineRule="auto"/>
        <w:rPr>
          <w:b/>
          <w:bCs/>
          <w:color w:val="000000"/>
          <w:kern w:val="0"/>
        </w:rPr>
      </w:pPr>
      <w:r>
        <w:rPr>
          <w:b/>
          <w:bCs/>
          <w:color w:val="000000"/>
          <w:kern w:val="0"/>
        </w:rPr>
        <w:t xml:space="preserve">  </w:t>
      </w:r>
      <w:r>
        <w:rPr>
          <w:rFonts w:hint="eastAsia"/>
          <w:b/>
          <w:bCs/>
          <w:color w:val="000000"/>
          <w:kern w:val="0"/>
        </w:rPr>
        <w:t xml:space="preserve"> </w:t>
      </w:r>
      <w:r>
        <w:rPr>
          <w:b/>
          <w:bCs/>
          <w:color w:val="000000"/>
          <w:kern w:val="0"/>
        </w:rPr>
        <w:t xml:space="preserve"> </w:t>
      </w:r>
      <w:r>
        <w:rPr>
          <w:rFonts w:hint="eastAsia"/>
          <w:b/>
          <w:bCs/>
          <w:color w:val="000000"/>
          <w:kern w:val="0"/>
        </w:rPr>
        <w:t>21</w:t>
      </w:r>
      <w:r>
        <w:rPr>
          <w:b/>
          <w:bCs/>
          <w:color w:val="000000"/>
          <w:kern w:val="0"/>
        </w:rPr>
        <w:t>. 不可抗力：</w:t>
      </w:r>
      <w:r>
        <w:rPr>
          <w:color w:val="000000"/>
          <w:kern w:val="0"/>
        </w:rPr>
        <w:t>指理财产品合同当事人不能预见、不能避免且不能克服的客观事件。</w:t>
      </w:r>
    </w:p>
    <w:p>
      <w:pPr>
        <w:autoSpaceDE w:val="0"/>
        <w:autoSpaceDN w:val="0"/>
        <w:adjustRightInd w:val="0"/>
        <w:spacing w:line="360" w:lineRule="auto"/>
        <w:ind w:firstLine="422" w:firstLineChars="200"/>
        <w:rPr>
          <w:b/>
          <w:bCs/>
          <w:color w:val="000000"/>
          <w:kern w:val="0"/>
        </w:rPr>
      </w:pPr>
      <w:r>
        <w:rPr>
          <w:rFonts w:hint="eastAsia"/>
          <w:b/>
          <w:bCs/>
          <w:color w:val="000000"/>
          <w:kern w:val="0"/>
        </w:rPr>
        <w:t>22</w:t>
      </w:r>
      <w:r>
        <w:rPr>
          <w:b/>
          <w:bCs/>
          <w:color w:val="000000"/>
          <w:kern w:val="0"/>
        </w:rPr>
        <w:t>. 交易账户：</w:t>
      </w:r>
      <w:r>
        <w:rPr>
          <w:color w:val="000000"/>
          <w:kern w:val="0"/>
        </w:rPr>
        <w:t>指</w:t>
      </w:r>
      <w:r>
        <w:rPr>
          <w:rFonts w:hint="eastAsia"/>
          <w:color w:val="000000"/>
          <w:kern w:val="0"/>
        </w:rPr>
        <w:t>投资者</w:t>
      </w:r>
      <w:r>
        <w:rPr>
          <w:color w:val="000000"/>
          <w:kern w:val="0"/>
        </w:rPr>
        <w:t>在</w:t>
      </w:r>
      <w:r>
        <w:rPr>
          <w:rFonts w:hint="eastAsia"/>
          <w:color w:val="000000"/>
          <w:kern w:val="0"/>
        </w:rPr>
        <w:t>理财产品代理销售机构</w:t>
      </w:r>
      <w:r>
        <w:rPr>
          <w:rFonts w:hint="eastAsia"/>
        </w:rPr>
        <w:t>开立的</w:t>
      </w:r>
      <w:r>
        <w:rPr>
          <w:color w:val="000000"/>
          <w:kern w:val="0"/>
        </w:rPr>
        <w:t>，用于</w:t>
      </w:r>
      <w:r>
        <w:rPr>
          <w:rFonts w:hint="eastAsia"/>
          <w:color w:val="000000"/>
          <w:kern w:val="0"/>
        </w:rPr>
        <w:t>理财</w:t>
      </w:r>
      <w:r>
        <w:rPr>
          <w:color w:val="000000"/>
          <w:kern w:val="0"/>
        </w:rPr>
        <w:t>认购</w:t>
      </w:r>
      <w:r>
        <w:rPr>
          <w:rFonts w:hint="eastAsia"/>
          <w:color w:val="000000"/>
          <w:kern w:val="0"/>
        </w:rPr>
        <w:t>、赎回</w:t>
      </w:r>
      <w:r>
        <w:rPr>
          <w:color w:val="000000"/>
          <w:kern w:val="0"/>
        </w:rPr>
        <w:t>、</w:t>
      </w:r>
      <w:r>
        <w:rPr>
          <w:rFonts w:hint="eastAsia"/>
          <w:color w:val="000000"/>
          <w:kern w:val="0"/>
        </w:rPr>
        <w:t>转入转出理财资金的账户</w:t>
      </w:r>
      <w:r>
        <w:rPr>
          <w:color w:val="000000"/>
          <w:kern w:val="0"/>
        </w:rPr>
        <w:t>。</w:t>
      </w:r>
    </w:p>
    <w:p>
      <w:pPr>
        <w:autoSpaceDE w:val="0"/>
        <w:autoSpaceDN w:val="0"/>
        <w:adjustRightInd w:val="0"/>
        <w:spacing w:line="360" w:lineRule="auto"/>
        <w:ind w:firstLine="422" w:firstLineChars="200"/>
        <w:rPr>
          <w:color w:val="000000"/>
          <w:kern w:val="0"/>
        </w:rPr>
      </w:pPr>
      <w:r>
        <w:rPr>
          <w:rFonts w:hint="eastAsia"/>
          <w:b/>
          <w:bCs/>
          <w:color w:val="000000"/>
          <w:kern w:val="0"/>
        </w:rPr>
        <w:t>23</w:t>
      </w:r>
      <w:r>
        <w:rPr>
          <w:b/>
          <w:bCs/>
          <w:color w:val="000000"/>
          <w:kern w:val="0"/>
        </w:rPr>
        <w:t>. 中国/国家：</w:t>
      </w:r>
      <w:r>
        <w:rPr>
          <w:color w:val="000000"/>
          <w:kern w:val="0"/>
        </w:rPr>
        <w:t>指中华人民共和国（为本理财产品之目的，不包括香港特别行政区、澳门特别行政区和台湾地区）。</w:t>
      </w:r>
    </w:p>
    <w:p>
      <w:pPr>
        <w:autoSpaceDE w:val="0"/>
        <w:autoSpaceDN w:val="0"/>
        <w:adjustRightInd w:val="0"/>
        <w:spacing w:line="360" w:lineRule="auto"/>
        <w:ind w:firstLine="422" w:firstLineChars="200"/>
        <w:rPr>
          <w:color w:val="000000"/>
          <w:kern w:val="0"/>
        </w:rPr>
      </w:pPr>
      <w:r>
        <w:rPr>
          <w:rFonts w:hint="eastAsia"/>
          <w:b/>
          <w:bCs/>
          <w:color w:val="000000"/>
          <w:kern w:val="0"/>
        </w:rPr>
        <w:t>24</w:t>
      </w:r>
      <w:r>
        <w:rPr>
          <w:b/>
          <w:bCs/>
          <w:color w:val="000000"/>
          <w:kern w:val="0"/>
        </w:rPr>
        <w:t>. 法律法规：</w:t>
      </w:r>
      <w:r>
        <w:rPr>
          <w:color w:val="000000"/>
          <w:kern w:val="0"/>
        </w:rPr>
        <w:t>指所有适用于本理财产品合同的现行有效的中国法律、行政法规、部门规章、规范性文件、地方法律法规。凡提及相关法律法规，包括对该等法律法规的不时修订。</w:t>
      </w:r>
    </w:p>
    <w:p>
      <w:pPr>
        <w:autoSpaceDE w:val="0"/>
        <w:autoSpaceDN w:val="0"/>
        <w:adjustRightInd w:val="0"/>
        <w:spacing w:line="360" w:lineRule="auto"/>
        <w:ind w:firstLine="422" w:firstLineChars="200"/>
        <w:rPr>
          <w:rFonts w:hint="eastAsia"/>
          <w:color w:val="000000"/>
          <w:kern w:val="0"/>
        </w:rPr>
      </w:pPr>
      <w:bookmarkStart w:id="3" w:name="Text64"/>
      <w:r>
        <w:rPr>
          <w:b/>
          <w:bCs/>
          <w:color w:val="000000"/>
          <w:kern w:val="0"/>
        </w:rPr>
        <w:fldChar w:fldCharType="begin">
          <w:ffData>
            <w:name w:val="Text64"/>
            <w:enabled/>
            <w:calcOnExit w:val="0"/>
            <w:textInput>
              <w:default w:val="25. 国债充抵期货保证金业务：指期货市场参与者在期货交易所参与期货交易并使用在中央结算公司托管的国债作为保证金，中央结算公司为该业务提供担保品管理服务支持的业务。"/>
            </w:textInput>
          </w:ffData>
        </w:fldChar>
      </w:r>
      <w:r>
        <w:rPr>
          <w:b/>
          <w:bCs/>
          <w:color w:val="000000"/>
          <w:kern w:val="0"/>
        </w:rPr>
        <w:instrText xml:space="preserve">FORMTEXT</w:instrText>
      </w:r>
      <w:r>
        <w:rPr>
          <w:b/>
          <w:bCs/>
          <w:color w:val="000000"/>
          <w:kern w:val="0"/>
        </w:rPr>
        <w:fldChar w:fldCharType="separate"/>
      </w:r>
      <w:r>
        <w:rPr>
          <w:b/>
          <w:bCs/>
          <w:color w:val="000000"/>
          <w:kern w:val="0"/>
        </w:rPr>
        <w:t>25. 国债充抵期货保证金业务：指期货市场参与者在期货交易所参与期货交易并使用在中央结算公司托管的国债作为保证金，中央结算公司为该业务提供担保品管理服务支持的业务。</w:t>
      </w:r>
      <w:r>
        <w:rPr>
          <w:b/>
          <w:bCs/>
          <w:color w:val="000000"/>
          <w:kern w:val="0"/>
        </w:rPr>
        <w:fldChar w:fldCharType="end"/>
      </w:r>
      <w:bookmarkEnd w:id="3"/>
    </w:p>
    <w:p>
      <w:pPr>
        <w:autoSpaceDE w:val="0"/>
        <w:autoSpaceDN w:val="0"/>
        <w:adjustRightInd w:val="0"/>
        <w:spacing w:line="360" w:lineRule="auto"/>
        <w:rPr>
          <w:color w:val="000000"/>
          <w:kern w:val="0"/>
        </w:rPr>
      </w:pPr>
    </w:p>
    <w:p>
      <w:pPr>
        <w:autoSpaceDE w:val="0"/>
        <w:autoSpaceDN w:val="0"/>
        <w:adjustRightInd w:val="0"/>
        <w:spacing w:line="360" w:lineRule="auto"/>
        <w:jc w:val="center"/>
        <w:rPr>
          <w:color w:val="000000"/>
          <w:kern w:val="0"/>
        </w:rPr>
      </w:pPr>
      <w:r>
        <w:rPr>
          <w:b/>
          <w:bCs/>
          <w:color w:val="000000"/>
          <w:kern w:val="0"/>
          <w:sz w:val="32"/>
          <w:szCs w:val="32"/>
        </w:rPr>
        <w:br w:type="page"/>
      </w:r>
      <w:r>
        <w:rPr>
          <w:b/>
          <w:bCs/>
          <w:color w:val="000000"/>
          <w:kern w:val="0"/>
          <w:sz w:val="32"/>
          <w:szCs w:val="32"/>
        </w:rPr>
        <w:t>产品要素</w:t>
      </w:r>
    </w:p>
    <w:p>
      <w:pPr>
        <w:autoSpaceDE w:val="0"/>
        <w:autoSpaceDN w:val="0"/>
        <w:adjustRightInd w:val="0"/>
        <w:spacing w:line="360" w:lineRule="auto"/>
        <w:rPr>
          <w:color w:val="000000"/>
          <w:kern w:val="0"/>
        </w:rPr>
      </w:pPr>
      <w:r>
        <w:rPr>
          <w:b/>
          <w:bCs/>
          <w:color w:val="000000"/>
          <w:kern w:val="0"/>
        </w:rPr>
        <w:t>一、理财产品基本信息</w:t>
      </w:r>
      <w:r>
        <w:rPr>
          <w:color w:val="000000"/>
          <w:kern w:val="0"/>
        </w:rPr>
        <w:t xml:space="preserve"> </w:t>
      </w:r>
    </w:p>
    <w:tbl>
      <w:tblPr>
        <w:tblStyle w:val="9"/>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4"/>
        <w:gridCol w:w="6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000000"/>
                <w:kern w:val="0"/>
              </w:rPr>
            </w:pPr>
            <w:r>
              <w:rPr>
                <w:color w:val="000000"/>
                <w:kern w:val="0"/>
              </w:rPr>
              <w:t>产品名称</w:t>
            </w:r>
          </w:p>
        </w:tc>
        <w:tc>
          <w:tcPr>
            <w:tcW w:w="68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000000"/>
                <w:kern w:val="0"/>
              </w:rPr>
            </w:pPr>
            <w:bookmarkStart w:id="4" w:name="Text5"/>
            <w:r>
              <w:rPr>
                <w:rFonts w:hint="eastAsia" w:ascii="Times New Roman" w:hAnsi="Times New Roman"/>
                <w:color w:val="000000"/>
                <w:kern w:val="44"/>
                <w:sz w:val="21"/>
                <w:szCs w:val="24"/>
                <w:lang w:val="en-US" w:eastAsia="zh-CN" w:bidi="ar"/>
              </w:rPr>
              <w:fldChar w:fldCharType="begin">
                <w:ffData>
                  <w:name w:val="Text5"/>
                  <w:enabled/>
                  <w:calcOnExit w:val="0"/>
                  <w:textInput>
                    <w:default w:val="民生理财富竹固收优选14个月封闭46号理财产品"/>
                  </w:textInput>
                </w:ffData>
              </w:fldChar>
            </w:r>
            <w:r>
              <w:rPr>
                <w:rFonts w:hint="eastAsia" w:ascii="Times New Roman" w:hAnsi="Times New Roman"/>
                <w:color w:val="000000"/>
                <w:kern w:val="44"/>
                <w:sz w:val="21"/>
                <w:szCs w:val="24"/>
                <w:lang w:val="en-US" w:eastAsia="zh-CN" w:bidi="ar"/>
              </w:rPr>
              <w:instrText xml:space="preserve">FORMTEXT</w:instrText>
            </w:r>
            <w:r>
              <w:rPr>
                <w:rFonts w:hint="eastAsia" w:ascii="Times New Roman" w:hAnsi="Times New Roman"/>
                <w:color w:val="000000"/>
                <w:kern w:val="44"/>
                <w:sz w:val="21"/>
                <w:szCs w:val="24"/>
                <w:lang w:val="en-US" w:eastAsia="zh-CN" w:bidi="ar"/>
              </w:rPr>
              <w:fldChar w:fldCharType="separate"/>
            </w:r>
            <w:r>
              <w:rPr>
                <w:rFonts w:hint="eastAsia"/>
                <w:color w:val="000000"/>
                <w:kern w:val="44"/>
                <w:sz w:val="21"/>
                <w:szCs w:val="24"/>
                <w:lang w:val="en-US" w:eastAsia="zh-CN" w:bidi="ar"/>
              </w:rPr>
              <w:t>民生理财富竹固收优选封闭114号</w:t>
            </w:r>
            <w:r>
              <w:rPr>
                <w:rFonts w:hint="eastAsia" w:ascii="Times New Roman" w:hAnsi="Times New Roman"/>
                <w:color w:val="000000"/>
                <w:kern w:val="44"/>
                <w:sz w:val="21"/>
                <w:szCs w:val="24"/>
                <w:lang w:val="en-US" w:eastAsia="zh-CN" w:bidi="ar"/>
              </w:rPr>
              <w:t>理财产品</w:t>
            </w:r>
            <w:r>
              <w:rPr>
                <w:rFonts w:hint="eastAsia" w:ascii="Times New Roman" w:hAnsi="Times New Roman"/>
                <w:color w:val="000000"/>
                <w:kern w:val="44"/>
                <w:sz w:val="21"/>
                <w:szCs w:val="24"/>
                <w:lang w:val="en-US" w:eastAsia="zh-CN" w:bidi="ar"/>
              </w:rPr>
              <w:fldChar w:fldCharType="end"/>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000000"/>
                <w:kern w:val="0"/>
                <w:szCs w:val="21"/>
              </w:rPr>
            </w:pPr>
            <w:r>
              <w:rPr>
                <w:color w:val="000000"/>
                <w:kern w:val="0"/>
                <w:szCs w:val="21"/>
              </w:rPr>
              <w:t>全国银行业理财信息登记系统产品登记编码</w:t>
            </w:r>
          </w:p>
        </w:tc>
        <w:tc>
          <w:tcPr>
            <w:tcW w:w="68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kern w:val="44"/>
              </w:rPr>
            </w:pPr>
            <w:bookmarkStart w:id="5" w:name="Text3"/>
            <w:r>
              <w:rPr>
                <w:rFonts w:hint="eastAsia" w:ascii="Times New Roman" w:hAnsi="Times New Roman" w:eastAsia="宋体" w:cs="Times New Roman"/>
                <w:kern w:val="44"/>
                <w:sz w:val="21"/>
                <w:szCs w:val="24"/>
                <w:lang w:val="en-US" w:eastAsia="zh-CN" w:bidi="ar-SA"/>
              </w:rPr>
              <w:fldChar w:fldCharType="begin">
                <w:ffData>
                  <w:name w:val="Text3"/>
                  <w:enabled/>
                  <w:calcOnExit w:val="0"/>
                  <w:textInput>
                    <w:default w:val="Z7007925000542"/>
                  </w:textInput>
                </w:ffData>
              </w:fldChar>
            </w:r>
            <w:r>
              <w:rPr>
                <w:rFonts w:hint="eastAsia" w:ascii="Times New Roman" w:hAnsi="Times New Roman" w:eastAsia="宋体" w:cs="Times New Roman"/>
                <w:kern w:val="44"/>
                <w:sz w:val="21"/>
                <w:szCs w:val="24"/>
                <w:lang w:val="en-US" w:eastAsia="zh-CN" w:bidi="ar-SA"/>
              </w:rPr>
              <w:instrText xml:space="preserve">FORMTEXT</w:instrText>
            </w:r>
            <w:r>
              <w:rPr>
                <w:rFonts w:hint="eastAsia" w:ascii="Times New Roman" w:hAnsi="Times New Roman" w:eastAsia="宋体" w:cs="Times New Roman"/>
                <w:kern w:val="44"/>
                <w:sz w:val="21"/>
                <w:szCs w:val="24"/>
                <w:lang w:val="en-US" w:eastAsia="zh-CN" w:bidi="ar-SA"/>
              </w:rPr>
              <w:fldChar w:fldCharType="separate"/>
            </w:r>
            <w:r>
              <w:rPr>
                <w:rFonts w:hint="eastAsia" w:cs="Times New Roman"/>
                <w:kern w:val="44"/>
                <w:sz w:val="21"/>
                <w:szCs w:val="24"/>
                <w:lang w:val="en-US" w:eastAsia="zh-CN" w:bidi="ar-SA"/>
              </w:rPr>
              <w:t>Z7007925000780</w:t>
            </w:r>
            <w:r>
              <w:rPr>
                <w:rFonts w:hint="eastAsia" w:ascii="Times New Roman" w:hAnsi="Times New Roman" w:eastAsia="宋体" w:cs="Times New Roman"/>
                <w:kern w:val="44"/>
                <w:sz w:val="21"/>
                <w:szCs w:val="24"/>
                <w:lang w:val="en-US" w:eastAsia="zh-CN" w:bidi="ar-SA"/>
              </w:rPr>
              <w:fldChar w:fldCharType="end"/>
            </w:r>
            <w:bookmarkEnd w:id="5"/>
          </w:p>
          <w:p>
            <w:pPr>
              <w:spacing w:line="360" w:lineRule="auto"/>
              <w:rPr>
                <w:kern w:val="44"/>
              </w:rPr>
            </w:pPr>
            <w:r>
              <w:rPr>
                <w:kern w:val="44"/>
              </w:rPr>
              <w:t>（投资者可依据该编码在中国理财网www.chinawealth.com.cn 查询产品信息）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000000"/>
                <w:kern w:val="0"/>
                <w:szCs w:val="21"/>
              </w:rPr>
            </w:pPr>
            <w:r>
              <w:rPr>
                <w:color w:val="000000"/>
                <w:kern w:val="0"/>
                <w:szCs w:val="21"/>
              </w:rPr>
              <w:t>产品代码</w:t>
            </w:r>
          </w:p>
        </w:tc>
        <w:tc>
          <w:tcPr>
            <w:tcW w:w="68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kern w:val="44"/>
              </w:rPr>
            </w:pPr>
            <w:r>
              <w:rPr>
                <w:rFonts w:hint="eastAsia" w:ascii="Times New Roman" w:hAnsi="Times New Roman" w:eastAsia="宋体" w:cs="Times New Roman"/>
                <w:kern w:val="44"/>
                <w:sz w:val="21"/>
                <w:szCs w:val="24"/>
                <w:highlight w:val="none"/>
                <w:lang w:val="en-US" w:eastAsia="zh-CN" w:bidi="ar-SA"/>
              </w:rPr>
              <w:fldChar w:fldCharType="begin">
                <w:ffData>
                  <w:name w:val="Text70"/>
                  <w:enabled/>
                  <w:calcOnExit w:val="0"/>
                  <w:textInput>
                    <w:default w:val="FBAG62214"/>
                  </w:textInput>
                </w:ffData>
              </w:fldChar>
            </w:r>
            <w:r>
              <w:rPr>
                <w:rFonts w:hint="eastAsia" w:ascii="Times New Roman" w:hAnsi="Times New Roman" w:eastAsia="宋体" w:cs="Times New Roman"/>
                <w:kern w:val="44"/>
                <w:sz w:val="21"/>
                <w:szCs w:val="24"/>
                <w:highlight w:val="none"/>
                <w:lang w:val="en-US" w:eastAsia="zh-CN" w:bidi="ar-SA"/>
              </w:rPr>
              <w:instrText xml:space="preserve">FORMTEXT</w:instrText>
            </w:r>
            <w:r>
              <w:rPr>
                <w:rFonts w:hint="eastAsia" w:ascii="Times New Roman" w:hAnsi="Times New Roman" w:eastAsia="宋体" w:cs="Times New Roman"/>
                <w:kern w:val="44"/>
                <w:sz w:val="21"/>
                <w:szCs w:val="24"/>
                <w:highlight w:val="none"/>
                <w:lang w:val="en-US" w:eastAsia="zh-CN" w:bidi="ar-SA"/>
              </w:rPr>
              <w:fldChar w:fldCharType="separate"/>
            </w:r>
            <w:r>
              <w:rPr>
                <w:rFonts w:hint="eastAsia" w:ascii="Times New Roman" w:hAnsi="Times New Roman" w:eastAsia="宋体" w:cs="Times New Roman"/>
                <w:kern w:val="44"/>
                <w:sz w:val="21"/>
                <w:szCs w:val="24"/>
                <w:highlight w:val="none"/>
                <w:lang w:val="en-US" w:eastAsia="zh-CN" w:bidi="ar-SA"/>
              </w:rPr>
              <w:t>FBAG62214</w:t>
            </w:r>
            <w:r>
              <w:rPr>
                <w:rFonts w:hint="eastAsia" w:ascii="Times New Roman" w:hAnsi="Times New Roman" w:eastAsia="宋体" w:cs="Times New Roman"/>
                <w:kern w:val="44"/>
                <w:sz w:val="21"/>
                <w:szCs w:val="24"/>
                <w:highlight w:val="none"/>
                <w:lang w:val="en-US" w:eastAsia="zh-CN" w:bidi="ar-SA"/>
              </w:rPr>
              <w:fldChar w:fldCharType="end"/>
            </w:r>
          </w:p>
          <w:p>
            <w:pPr>
              <w:spacing w:line="360" w:lineRule="auto"/>
              <w:rPr>
                <w:color w:val="000000"/>
                <w:kern w:val="0"/>
              </w:rPr>
            </w:pPr>
            <w:r>
              <w:rPr>
                <w:rFonts w:hint="eastAsia" w:ascii="Times New Roman" w:hAnsi="Times New Roman" w:eastAsia="宋体" w:cs="Times New Roman"/>
                <w:kern w:val="44"/>
                <w:sz w:val="21"/>
                <w:szCs w:val="24"/>
                <w:lang w:val="en-US" w:eastAsia="zh-CN" w:bidi="ar-SA"/>
              </w:rPr>
              <w:fldChar w:fldCharType="begin">
                <w:ffData>
                  <w:name w:val="Text65"/>
                  <w:enabled/>
                  <w:calcOnExit w:val="0"/>
                  <w:textInput>
                    <w:default w:val="其中，A份额：FBAG62214A；B份额：FBAG62214B；S份额：FBAG62214S；Q份额：FBAG62214Q；J份额：FBAG62214J；G份额：FBAG62214G；E份额：FBAG62214E；F份额：FBAG62214F；M份额：FBAG62214M；P份额：FBAG62214P。&#13;&#10;"/>
                  </w:textInput>
                </w:ffData>
              </w:fldChar>
            </w:r>
            <w:r>
              <w:rPr>
                <w:rFonts w:hint="eastAsia" w:ascii="Times New Roman" w:hAnsi="Times New Roman" w:eastAsia="宋体" w:cs="Times New Roman"/>
                <w:kern w:val="44"/>
                <w:sz w:val="21"/>
                <w:szCs w:val="24"/>
                <w:lang w:val="en-US" w:eastAsia="zh-CN" w:bidi="ar-SA"/>
              </w:rPr>
              <w:instrText xml:space="preserve">FORMTEXT</w:instrText>
            </w:r>
            <w:r>
              <w:rPr>
                <w:rFonts w:hint="eastAsia" w:ascii="Times New Roman" w:hAnsi="Times New Roman" w:eastAsia="宋体" w:cs="Times New Roman"/>
                <w:kern w:val="44"/>
                <w:sz w:val="21"/>
                <w:szCs w:val="24"/>
                <w:lang w:val="en-US" w:eastAsia="zh-CN" w:bidi="ar-SA"/>
              </w:rPr>
              <w:fldChar w:fldCharType="separate"/>
            </w:r>
            <w:r>
              <w:rPr>
                <w:rFonts w:hint="eastAsia" w:ascii="Times New Roman" w:hAnsi="Times New Roman" w:eastAsia="宋体" w:cs="Times New Roman"/>
                <w:kern w:val="44"/>
                <w:sz w:val="21"/>
                <w:szCs w:val="24"/>
                <w:lang w:val="en-US" w:eastAsia="zh-CN" w:bidi="ar-SA"/>
              </w:rPr>
              <w:t>其中，A份额：FBAG62214A；B份额：FBAG62214B；S份额：FBAG62214S；Q份额：FBAG62214Q；J份额：FBAG62214J；G份额：FBAG62214G；E份额：FBAG62214E；F份额：FBAG62214F；M份额：FBAG62214M；P份额：FBAG62214P。</w:t>
            </w:r>
            <w:r>
              <w:rPr>
                <w:rFonts w:hint="eastAsia" w:ascii="Times New Roman" w:hAnsi="Times New Roman" w:eastAsia="宋体" w:cs="Times New Roman"/>
                <w:kern w:val="44"/>
                <w:sz w:val="21"/>
                <w:szCs w:val="24"/>
                <w:lang w:val="en-US" w:eastAsia="zh-CN" w:bidi="ar-SA"/>
              </w:rPr>
              <w:cr/>
            </w:r>
            <w:r>
              <w:rPr>
                <w:rFonts w:hint="eastAsia" w:ascii="Times New Roman" w:hAnsi="Times New Roman" w:eastAsia="宋体" w:cs="Times New Roman"/>
                <w:kern w:val="44"/>
                <w:sz w:val="21"/>
                <w:szCs w:val="24"/>
                <w:lang w:val="en-US" w:eastAsia="zh-CN" w:bidi="ar-SA"/>
              </w:rPr>
              <w:t>
</w:t>
            </w:r>
            <w:r>
              <w:rPr>
                <w:rFonts w:hint="eastAsia" w:ascii="Times New Roman" w:hAnsi="Times New Roman" w:eastAsia="宋体" w:cs="Times New Roman"/>
                <w:kern w:val="44"/>
                <w:sz w:val="21"/>
                <w:szCs w:val="24"/>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000000"/>
                <w:kern w:val="0"/>
                <w:szCs w:val="21"/>
              </w:rPr>
            </w:pPr>
            <w:r>
              <w:rPr>
                <w:color w:val="000000"/>
                <w:kern w:val="0"/>
                <w:szCs w:val="21"/>
              </w:rPr>
              <w:t>募集方式</w:t>
            </w:r>
          </w:p>
        </w:tc>
        <w:tc>
          <w:tcPr>
            <w:tcW w:w="68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000000"/>
                <w:kern w:val="0"/>
                <w:szCs w:val="21"/>
              </w:rPr>
            </w:pPr>
            <w:r>
              <w:rPr>
                <w:color w:val="000000"/>
                <w:kern w:val="0"/>
                <w:szCs w:val="21"/>
              </w:rPr>
              <w:t>公</w:t>
            </w:r>
            <w:r>
              <w:rPr>
                <w:rFonts w:hint="eastAsia"/>
                <w:color w:val="000000"/>
                <w:kern w:val="0"/>
                <w:szCs w:val="21"/>
              </w:rPr>
              <w:t>开</w:t>
            </w:r>
            <w:r>
              <w:rPr>
                <w:color w:val="000000"/>
                <w:kern w:val="0"/>
                <w:szCs w:val="21"/>
              </w:rPr>
              <w:t>发行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000000"/>
                <w:kern w:val="0"/>
                <w:szCs w:val="21"/>
              </w:rPr>
            </w:pPr>
            <w:r>
              <w:rPr>
                <w:color w:val="000000"/>
                <w:kern w:val="0"/>
                <w:szCs w:val="21"/>
              </w:rPr>
              <w:t>产品类型</w:t>
            </w:r>
          </w:p>
        </w:tc>
        <w:tc>
          <w:tcPr>
            <w:tcW w:w="68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000000"/>
                <w:kern w:val="0"/>
                <w:szCs w:val="21"/>
              </w:rPr>
            </w:pPr>
            <w:bookmarkStart w:id="6" w:name="Text38"/>
            <w:r>
              <w:rPr>
                <w:rFonts w:hint="eastAsia"/>
                <w:kern w:val="44"/>
                <w:szCs w:val="20"/>
                <w:lang w:bidi="ar"/>
              </w:rPr>
              <w:fldChar w:fldCharType="begin">
                <w:ffData>
                  <w:name w:val="Text38"/>
                  <w:enabled/>
                  <w:calcOnExit w:val="0"/>
                  <w:textInput>
                    <w:default w:val="固定收益类"/>
                  </w:textInput>
                </w:ffData>
              </w:fldChar>
            </w:r>
            <w:r>
              <w:rPr>
                <w:rFonts w:hint="eastAsia"/>
                <w:kern w:val="44"/>
                <w:szCs w:val="20"/>
                <w:lang w:bidi="ar"/>
              </w:rPr>
              <w:instrText xml:space="preserve">FORMTEXT</w:instrText>
            </w:r>
            <w:r>
              <w:rPr>
                <w:rFonts w:hint="eastAsia"/>
                <w:kern w:val="44"/>
                <w:szCs w:val="20"/>
                <w:lang w:bidi="ar"/>
              </w:rPr>
              <w:fldChar w:fldCharType="separate"/>
            </w:r>
            <w:r>
              <w:rPr>
                <w:rFonts w:hint="eastAsia"/>
                <w:kern w:val="44"/>
                <w:szCs w:val="20"/>
                <w:lang w:bidi="ar"/>
              </w:rPr>
              <w:t>固定收益类</w:t>
            </w:r>
            <w:r>
              <w:rPr>
                <w:rFonts w:hint="eastAsia"/>
                <w:kern w:val="44"/>
                <w:szCs w:val="20"/>
                <w:lang w:bidi="ar"/>
              </w:rPr>
              <w:fldChar w:fldCharType="end"/>
            </w:r>
            <w:bookmarkEnd w:id="6"/>
            <w:r>
              <w:rPr>
                <w:rFonts w:hint="eastAsia"/>
                <w:kern w:val="44"/>
                <w:szCs w:val="20"/>
                <w:lang w:bidi="ar"/>
              </w:rPr>
              <w:t>，非保本浮动收益型。本理财产品不保证本金和收益，投资者可能面临因为市场变动而蒙受相应损失。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000000"/>
                <w:kern w:val="0"/>
              </w:rPr>
            </w:pPr>
            <w:r>
              <w:rPr>
                <w:color w:val="000000"/>
                <w:kern w:val="0"/>
              </w:rPr>
              <w:t>运作方式</w:t>
            </w:r>
          </w:p>
        </w:tc>
        <w:tc>
          <w:tcPr>
            <w:tcW w:w="68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000000"/>
                <w:kern w:val="0"/>
              </w:rPr>
            </w:pPr>
            <w:r>
              <w:rPr>
                <w:color w:val="000000"/>
                <w:kern w:val="0"/>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000000"/>
                <w:kern w:val="0"/>
              </w:rPr>
            </w:pPr>
            <w:r>
              <w:rPr>
                <w:color w:val="000000"/>
                <w:kern w:val="0"/>
              </w:rPr>
              <w:t>募集币种</w:t>
            </w:r>
          </w:p>
        </w:tc>
        <w:tc>
          <w:tcPr>
            <w:tcW w:w="68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000000"/>
                <w:kern w:val="0"/>
              </w:rPr>
            </w:pPr>
            <w:r>
              <w:rPr>
                <w:color w:val="000000"/>
                <w:kern w:val="0"/>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000000"/>
                <w:kern w:val="0"/>
              </w:rPr>
            </w:pPr>
            <w:r>
              <w:rPr>
                <w:color w:val="000000"/>
                <w:kern w:val="0"/>
              </w:rPr>
              <w:t>管理人/发行机构</w:t>
            </w:r>
          </w:p>
        </w:tc>
        <w:tc>
          <w:tcPr>
            <w:tcW w:w="68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000000"/>
                <w:kern w:val="0"/>
              </w:rPr>
            </w:pPr>
            <w:r>
              <w:rPr>
                <w:color w:val="000000"/>
                <w:kern w:val="0"/>
              </w:rPr>
              <w:t>民生理财有限责任公司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000000"/>
                <w:kern w:val="0"/>
              </w:rPr>
            </w:pPr>
            <w:r>
              <w:rPr>
                <w:color w:val="000000"/>
                <w:kern w:val="0"/>
              </w:rPr>
              <w:t>托管人</w:t>
            </w:r>
          </w:p>
        </w:tc>
        <w:tc>
          <w:tcPr>
            <w:tcW w:w="68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000000"/>
                <w:kern w:val="0"/>
              </w:rPr>
            </w:pPr>
            <w:r>
              <w:rPr>
                <w:color w:val="000000"/>
                <w:kern w:val="0"/>
              </w:rPr>
              <w:fldChar w:fldCharType="begin">
                <w:ffData>
                  <w:name w:val="Text36"/>
                  <w:enabled/>
                  <w:calcOnExit w:val="0"/>
                  <w:textInput/>
                </w:ffData>
              </w:fldChar>
            </w:r>
            <w:r>
              <w:rPr>
                <w:color w:val="000000"/>
                <w:kern w:val="0"/>
              </w:rPr>
              <w:instrText xml:space="preserve">FORMTEXT</w:instrText>
            </w:r>
            <w:r>
              <w:rPr>
                <w:color w:val="000000"/>
                <w:kern w:val="0"/>
              </w:rPr>
              <w:fldChar w:fldCharType="separate"/>
            </w:r>
            <w:r>
              <w:rPr>
                <w:color w:val="000000"/>
                <w:kern w:val="0"/>
              </w:rPr>
              <w:t>中国民生银行股份有限公司</w:t>
            </w:r>
            <w:r>
              <w:rPr>
                <w:color w:val="000000"/>
                <w:kern w:val="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000000"/>
                <w:kern w:val="0"/>
              </w:rPr>
            </w:pPr>
            <w:r>
              <w:rPr>
                <w:rFonts w:hint="eastAsia"/>
                <w:color w:val="000000"/>
                <w:kern w:val="0"/>
              </w:rPr>
              <w:t>代理销售机构</w:t>
            </w:r>
          </w:p>
        </w:tc>
        <w:tc>
          <w:tcPr>
            <w:tcW w:w="68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000000"/>
                <w:kern w:val="0"/>
              </w:rPr>
            </w:pPr>
            <w:bookmarkStart w:id="7" w:name="Text36"/>
            <w:r>
              <w:rPr>
                <w:rFonts w:hint="eastAsia" w:ascii="Times New Roman" w:hAnsi="Times New Roman" w:eastAsia="宋体" w:cs="Times New Roman"/>
                <w:color w:val="000000"/>
                <w:kern w:val="0"/>
                <w:sz w:val="21"/>
                <w:szCs w:val="24"/>
                <w:lang w:val="en-US" w:eastAsia="zh-CN" w:bidi="ar-SA"/>
              </w:rPr>
              <w:fldChar w:fldCharType="begin">
                <w:ffData>
                  <w:name w:val="Text36"/>
                  <w:enabled/>
                  <w:calcOnExit w:val="0"/>
                  <w:textInput>
                    <w:default w:val="中国民生银行股份有限公司、湖南银行股份有限公司、吉林银行股份有限公司、广州农村商业银行股份有限公司、上海浦东发展银行股份有限公司"/>
                  </w:textInput>
                </w:ffData>
              </w:fldChar>
            </w:r>
            <w:r>
              <w:rPr>
                <w:rFonts w:hint="eastAsia" w:ascii="Times New Roman" w:hAnsi="Times New Roman" w:eastAsia="宋体" w:cs="Times New Roman"/>
                <w:color w:val="000000"/>
                <w:kern w:val="0"/>
                <w:sz w:val="21"/>
                <w:szCs w:val="24"/>
                <w:lang w:val="en-US" w:eastAsia="zh-CN" w:bidi="ar-SA"/>
              </w:rPr>
              <w:instrText xml:space="preserve">FORMTEXT</w:instrText>
            </w:r>
            <w:r>
              <w:rPr>
                <w:rFonts w:hint="eastAsia" w:ascii="Times New Roman" w:hAnsi="Times New Roman" w:eastAsia="宋体" w:cs="Times New Roman"/>
                <w:color w:val="000000"/>
                <w:kern w:val="0"/>
                <w:sz w:val="21"/>
                <w:szCs w:val="24"/>
                <w:lang w:val="en-US" w:eastAsia="zh-CN" w:bidi="ar-SA"/>
              </w:rPr>
              <w:fldChar w:fldCharType="separate"/>
            </w:r>
            <w:r>
              <w:rPr>
                <w:rFonts w:hint="eastAsia" w:ascii="Times New Roman" w:hAnsi="Times New Roman" w:eastAsia="宋体" w:cs="Times New Roman"/>
                <w:color w:val="000000"/>
                <w:kern w:val="0"/>
                <w:sz w:val="21"/>
                <w:szCs w:val="24"/>
                <w:lang w:val="en-US" w:eastAsia="zh-CN" w:bidi="ar-SA"/>
              </w:rPr>
              <w:t>中国民生银行股份有限公司、湖南银行股份有限公司、吉林银行股份有限公司、广州农村商业银行股份有限公司、上海浦东发展银行股份有限公司</w:t>
            </w:r>
            <w:r>
              <w:rPr>
                <w:rFonts w:hint="eastAsia" w:ascii="Times New Roman" w:hAnsi="Times New Roman" w:eastAsia="宋体" w:cs="Times New Roman"/>
                <w:color w:val="000000"/>
                <w:kern w:val="0"/>
                <w:sz w:val="21"/>
                <w:szCs w:val="24"/>
                <w:lang w:val="en-US" w:eastAsia="zh-CN" w:bidi="ar-SA"/>
              </w:rPr>
              <w:fldChar w:fldCharType="end"/>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000000"/>
                <w:kern w:val="0"/>
              </w:rPr>
            </w:pPr>
            <w:r>
              <w:rPr>
                <w:color w:val="000000"/>
                <w:kern w:val="0"/>
              </w:rPr>
              <w:t>产品风险评级</w:t>
            </w:r>
          </w:p>
        </w:tc>
        <w:tc>
          <w:tcPr>
            <w:tcW w:w="68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000000"/>
                <w:kern w:val="0"/>
              </w:rPr>
            </w:pPr>
            <w:r>
              <w:rPr>
                <w:kern w:val="44"/>
              </w:rPr>
              <w:fldChar w:fldCharType="begin">
                <w:ffData>
                  <w:name w:val="Text10"/>
                  <w:enabled/>
                  <w:calcOnExit w:val="0"/>
                  <w:textInput>
                    <w:default w:val="二级，即较低风险水平。"/>
                  </w:textInput>
                </w:ffData>
              </w:fldChar>
            </w:r>
            <w:r>
              <w:rPr>
                <w:kern w:val="44"/>
              </w:rPr>
              <w:instrText xml:space="preserve">FORMTEXT</w:instrText>
            </w:r>
            <w:r>
              <w:rPr>
                <w:kern w:val="44"/>
              </w:rPr>
              <w:fldChar w:fldCharType="separate"/>
            </w:r>
            <w:r>
              <w:rPr>
                <w:kern w:val="44"/>
              </w:rPr>
              <w:t>二级，即较低风险水平。</w:t>
            </w:r>
            <w:r>
              <w:rPr>
                <w:kern w:val="44"/>
              </w:rPr>
              <w:fldChar w:fldCharType="end"/>
            </w:r>
            <w:r>
              <w:rPr>
                <w:rFonts w:hint="eastAsia"/>
                <w:kern w:val="0"/>
              </w:rPr>
              <w:t>本理财产品</w:t>
            </w:r>
            <w:r>
              <w:rPr>
                <w:kern w:val="0"/>
              </w:rPr>
              <w:t>风险评级为管理人内部评定，仅供投资者参考，管理人并不对产品风险评级结果的准确性做出任何形式的保证。</w:t>
            </w:r>
            <w:r>
              <w:rPr>
                <w:rFonts w:hint="eastAsia"/>
                <w:kern w:val="0"/>
              </w:rPr>
              <w:t>如代理销售机构对本理财产品的风险评级与上述评级不一致，以代理销售机构最终披露的评级结果为准。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000000"/>
                <w:kern w:val="0"/>
              </w:rPr>
            </w:pPr>
            <w:r>
              <w:rPr>
                <w:kern w:val="0"/>
              </w:rPr>
              <w:t>销售对象及适合投资者</w:t>
            </w:r>
          </w:p>
        </w:tc>
        <w:tc>
          <w:tcPr>
            <w:tcW w:w="6837" w:type="dxa"/>
            <w:tcBorders>
              <w:top w:val="single" w:color="auto" w:sz="4" w:space="0"/>
              <w:left w:val="single" w:color="auto" w:sz="4" w:space="0"/>
              <w:bottom w:val="single" w:color="auto" w:sz="4" w:space="0"/>
              <w:right w:val="single" w:color="auto" w:sz="4" w:space="0"/>
            </w:tcBorders>
            <w:noWrap w:val="0"/>
            <w:vAlign w:val="top"/>
          </w:tcPr>
          <w:p>
            <w:pPr>
              <w:spacing w:line="360" w:lineRule="auto"/>
            </w:pPr>
            <w:r>
              <w:t>本理财产品面向不特定社会公众销售</w:t>
            </w:r>
            <w:bookmarkStart w:id="8" w:name="Text79"/>
            <w:bookmarkStart w:id="9" w:name="Text78"/>
            <w:r>
              <w:rPr>
                <w:rFonts w:ascii="Times New Roman" w:hAnsi="Times New Roman" w:eastAsia="宋体" w:cs="Times New Roman"/>
                <w:kern w:val="2"/>
                <w:sz w:val="21"/>
                <w:szCs w:val="24"/>
                <w:lang w:val="en-US" w:eastAsia="zh-CN" w:bidi="ar-SA"/>
              </w:rPr>
              <w:fldChar w:fldCharType="begin">
                <w:ffData>
                  <w:name w:val="Text79"/>
                  <w:enabled/>
                  <w:calcOnExit w:val="0"/>
                  <w:textInput>
                    <w:default w:val="。其中，A份额、B份额、S份额、Q份额：中国民生银行个人客户；J份额：中国民生银行家族信托客户；G份额：中国民生银行机构客户；E份额：湖南银行个人客户；F份额：吉林银行个人客户；M份额：广州农村商业银行个人客户；P份额：上海浦东发展银行个人客户。"/>
                  </w:textInput>
                </w:ffData>
              </w:fldChar>
            </w:r>
            <w:r>
              <w:rPr>
                <w:rFonts w:ascii="Times New Roman" w:hAnsi="Times New Roman" w:eastAsia="宋体" w:cs="Times New Roman"/>
                <w:kern w:val="2"/>
                <w:sz w:val="21"/>
                <w:szCs w:val="24"/>
                <w:lang w:val="en-US" w:eastAsia="zh-CN" w:bidi="ar-SA"/>
              </w:rPr>
              <w:instrText xml:space="preserve">FORMTEXT</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其中，A份额、B份额、S份额、Q份额：中国民生银行个人客户；J份额：中国民生银行家族信托客户；G份额：中国民生银行机构客户；E份额：湖南银行个人客户；F份额：吉林银行个人客户；M份额：广州农村商业银行个人客户；P份额：上海浦东发展银行个人客户。</w:t>
            </w:r>
            <w:r>
              <w:rPr>
                <w:rFonts w:ascii="Times New Roman" w:hAnsi="Times New Roman" w:eastAsia="宋体" w:cs="Times New Roman"/>
                <w:kern w:val="2"/>
                <w:sz w:val="21"/>
                <w:szCs w:val="24"/>
                <w:lang w:val="en-US" w:eastAsia="zh-CN" w:bidi="ar-SA"/>
              </w:rPr>
              <w:fldChar w:fldCharType="end"/>
            </w:r>
            <w:bookmarkEnd w:id="8"/>
            <w:r>
              <w:fldChar w:fldCharType="begin">
                <w:ffData>
                  <w:name w:val="Text78"/>
                  <w:enabled/>
                  <w:calcOnExit w:val="0"/>
                  <w:textInput>
                    <w:default w:val="经理财产品管理人评估，购买本理财产品的投资者的风险承受能力评级须为稳健型、平衡型、成长型和进取型。如代理销售机构对本理财产品的风险评级与管理人评级不一致，以代理销售机构最终披露的评级结果对应的销售对象及适合投资者为准。如代理销售机构适用和管理人不同的投资者与理财产品的匹配方法，以代理销售机构向投资者最终披露的匹配方法为准。"/>
                  </w:textInput>
                </w:ffData>
              </w:fldChar>
            </w:r>
            <w:r>
              <w:instrText xml:space="preserve">FORMTEXT</w:instrText>
            </w:r>
            <w:r>
              <w:fldChar w:fldCharType="separate"/>
            </w:r>
            <w:r>
              <w:t>经理财产品管理人评估，购买本理财产品的投资者的风险承受能力评级须为稳健型、平衡型、成长型和进取型。如代理销售机构对本理财产品的风险评级与管理人评级不一致，以代理销售机构最终披露的评级结果对应的销售对象及适合投资者为准。如代理销售机构适用和管理人不同的投资者与理财产品的匹配方法，以代理销售机构向投资者最终披露的匹配方法为准。</w:t>
            </w:r>
            <w:r>
              <w:fldChar w:fldCharType="end"/>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pPr>
            <w:r>
              <w:rPr>
                <w:color w:val="000000"/>
                <w:kern w:val="0"/>
              </w:rPr>
              <w:t>销售地域</w:t>
            </w:r>
          </w:p>
        </w:tc>
        <w:tc>
          <w:tcPr>
            <w:tcW w:w="68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kern w:val="44"/>
              </w:rPr>
            </w:pPr>
            <w:r>
              <w:rPr>
                <w:color w:val="000000"/>
                <w:kern w:val="0"/>
              </w:rPr>
              <w:t>面向</w:t>
            </w:r>
            <w:bookmarkStart w:id="10" w:name="Text40"/>
            <w:r>
              <w:rPr>
                <w:rFonts w:hint="eastAsia"/>
                <w:color w:val="000000"/>
                <w:kern w:val="44"/>
              </w:rPr>
              <w:fldChar w:fldCharType="begin">
                <w:ffData>
                  <w:name w:val="Text40"/>
                  <w:enabled/>
                  <w:calcOnExit w:val="0"/>
                  <w:textInput>
                    <w:default w:val="全国"/>
                  </w:textInput>
                </w:ffData>
              </w:fldChar>
            </w:r>
            <w:r>
              <w:rPr>
                <w:rFonts w:hint="eastAsia"/>
                <w:color w:val="000000"/>
                <w:kern w:val="44"/>
              </w:rPr>
              <w:instrText xml:space="preserve">FORMTEXT</w:instrText>
            </w:r>
            <w:r>
              <w:rPr>
                <w:rFonts w:hint="eastAsia"/>
                <w:color w:val="000000"/>
                <w:kern w:val="44"/>
              </w:rPr>
              <w:fldChar w:fldCharType="separate"/>
            </w:r>
            <w:r>
              <w:rPr>
                <w:rFonts w:hint="eastAsia"/>
                <w:color w:val="000000"/>
                <w:kern w:val="44"/>
              </w:rPr>
              <w:t>全国</w:t>
            </w:r>
            <w:r>
              <w:rPr>
                <w:rFonts w:hint="eastAsia"/>
                <w:color w:val="000000"/>
                <w:kern w:val="44"/>
              </w:rPr>
              <w:fldChar w:fldCharType="end"/>
            </w:r>
            <w:bookmarkEnd w:id="10"/>
            <w:r>
              <w:rPr>
                <w:color w:val="000000"/>
                <w:kern w:val="0"/>
              </w:rPr>
              <w:t>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kern w:val="44"/>
              </w:rPr>
            </w:pPr>
            <w:r>
              <w:t>销售渠道</w:t>
            </w:r>
          </w:p>
        </w:tc>
        <w:tc>
          <w:tcPr>
            <w:tcW w:w="68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kern w:val="44"/>
              </w:rPr>
            </w:pPr>
            <w:r>
              <w:rPr>
                <w:kern w:val="44"/>
              </w:rPr>
              <w:fldChar w:fldCharType="begin">
                <w:ffData>
                  <w:name w:val="Text12"/>
                  <w:enabled/>
                  <w:calcOnExit w:val="0"/>
                  <w:textInput/>
                </w:ffData>
              </w:fldChar>
            </w:r>
            <w:r>
              <w:rPr>
                <w:kern w:val="44"/>
              </w:rPr>
              <w:instrText xml:space="preserve">FORMTEXT</w:instrText>
            </w:r>
            <w:r>
              <w:rPr>
                <w:kern w:val="44"/>
              </w:rPr>
              <w:fldChar w:fldCharType="separate"/>
            </w:r>
            <w:r>
              <w:rPr>
                <w:rFonts w:hint="eastAsia"/>
                <w:kern w:val="44"/>
              </w:rPr>
              <w:t>管理人</w:t>
            </w:r>
            <w:r>
              <w:rPr>
                <w:kern w:val="44"/>
              </w:rPr>
              <w:t>或</w:t>
            </w:r>
            <w:r>
              <w:rPr>
                <w:rFonts w:hint="eastAsia"/>
                <w:kern w:val="44"/>
              </w:rPr>
              <w:t>代理销售机构</w:t>
            </w:r>
            <w:r>
              <w:rPr>
                <w:kern w:val="44"/>
              </w:rPr>
              <w:t>的营业网点、</w:t>
            </w:r>
            <w:r>
              <w:rPr>
                <w:kern w:val="0"/>
              </w:rPr>
              <w:t>电子渠道或监管机构认可的其他销售渠道</w:t>
            </w:r>
            <w:r>
              <w:rPr>
                <w:kern w:val="44"/>
              </w:rPr>
              <w:t>。 </w:t>
            </w:r>
            <w:r>
              <w:rPr>
                <w:kern w:val="4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000000"/>
                <w:kern w:val="0"/>
                <w:szCs w:val="21"/>
              </w:rPr>
            </w:pPr>
            <w:r>
              <w:rPr>
                <w:color w:val="000000"/>
                <w:kern w:val="0"/>
                <w:szCs w:val="21"/>
              </w:rPr>
              <w:t>发行规模</w:t>
            </w:r>
          </w:p>
        </w:tc>
        <w:tc>
          <w:tcPr>
            <w:tcW w:w="68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000000"/>
                <w:kern w:val="44"/>
                <w:lang w:bidi="ar"/>
              </w:rPr>
            </w:pPr>
            <w:bookmarkStart w:id="11" w:name="Text25"/>
            <w:r>
              <w:rPr>
                <w:color w:val="000000"/>
                <w:kern w:val="44"/>
                <w:lang w:bidi="ar"/>
              </w:rPr>
              <w:fldChar w:fldCharType="begin">
                <w:ffData>
                  <w:name w:val="Text25"/>
                  <w:enabled/>
                  <w:calcOnExit w:val="0"/>
                  <w:textInput>
                    <w:default w:val="产品成立规模下限：【2000】万。"/>
                  </w:textInput>
                </w:ffData>
              </w:fldChar>
            </w:r>
            <w:r>
              <w:rPr>
                <w:color w:val="000000"/>
                <w:kern w:val="44"/>
                <w:lang w:bidi="ar"/>
              </w:rPr>
              <w:instrText xml:space="preserve">FORMTEXT</w:instrText>
            </w:r>
            <w:r>
              <w:rPr>
                <w:color w:val="000000"/>
                <w:kern w:val="44"/>
                <w:lang w:bidi="ar"/>
              </w:rPr>
              <w:fldChar w:fldCharType="separate"/>
            </w:r>
            <w:r>
              <w:rPr>
                <w:color w:val="000000"/>
                <w:kern w:val="44"/>
                <w:lang w:bidi="ar"/>
              </w:rPr>
              <w:t>产品成立规模下限：【2000】万</w:t>
            </w:r>
            <w:r>
              <w:rPr>
                <w:rFonts w:hint="eastAsia"/>
                <w:color w:val="000000"/>
                <w:kern w:val="44"/>
                <w:lang w:bidi="ar"/>
              </w:rPr>
              <w:t>元</w:t>
            </w:r>
            <w:r>
              <w:rPr>
                <w:color w:val="000000"/>
                <w:kern w:val="44"/>
                <w:lang w:bidi="ar"/>
              </w:rPr>
              <w:t>。</w:t>
            </w:r>
            <w:r>
              <w:rPr>
                <w:color w:val="000000"/>
                <w:kern w:val="44"/>
                <w:lang w:bidi="ar"/>
              </w:rPr>
              <w:fldChar w:fldCharType="end"/>
            </w:r>
            <w:bookmarkEnd w:id="11"/>
            <w:r>
              <w:rPr>
                <w:b/>
                <w:bCs/>
                <w:color w:val="000000"/>
                <w:kern w:val="44"/>
                <w:lang w:bidi="ar"/>
              </w:rPr>
              <w:t>具体的销售规模详见管理人公布的当期理财产品公告，管理人可根据市场和产品运行情况调整产品规模上下限。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000000"/>
                <w:kern w:val="0"/>
                <w:szCs w:val="21"/>
              </w:rPr>
            </w:pPr>
            <w:r>
              <w:rPr>
                <w:color w:val="000000"/>
                <w:kern w:val="0"/>
              </w:rPr>
              <w:t>募集期</w:t>
            </w:r>
          </w:p>
        </w:tc>
        <w:tc>
          <w:tcPr>
            <w:tcW w:w="68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000000"/>
                <w:kern w:val="44"/>
                <w:lang w:bidi="ar"/>
              </w:rPr>
            </w:pPr>
            <w:bookmarkStart w:id="12" w:name="Text34"/>
            <w:r>
              <w:rPr>
                <w:rFonts w:hint="eastAsia" w:ascii="Times New Roman" w:hAnsi="Times New Roman" w:eastAsia="宋体" w:cs="Times New Roman"/>
                <w:kern w:val="44"/>
                <w:sz w:val="21"/>
                <w:szCs w:val="24"/>
                <w:lang w:val="en-US" w:eastAsia="zh-CN" w:bidi="ar-SA"/>
              </w:rPr>
              <w:fldChar w:fldCharType="begin">
                <w:ffData>
                  <w:name w:val="Text34"/>
                  <w:enabled/>
                  <w:calcOnExit w:val="0"/>
                  <w:textInput>
                    <w:default w:val="2025年11月4日9:00（含）至2025年11月10日17:00（不含）。"/>
                  </w:textInput>
                </w:ffData>
              </w:fldChar>
            </w:r>
            <w:r>
              <w:rPr>
                <w:rFonts w:hint="eastAsia" w:ascii="Times New Roman" w:hAnsi="Times New Roman" w:eastAsia="宋体" w:cs="Times New Roman"/>
                <w:kern w:val="44"/>
                <w:sz w:val="21"/>
                <w:szCs w:val="24"/>
                <w:lang w:val="en-US" w:eastAsia="zh-CN" w:bidi="ar-SA"/>
              </w:rPr>
              <w:instrText xml:space="preserve">FORMTEXT</w:instrText>
            </w:r>
            <w:r>
              <w:rPr>
                <w:rFonts w:hint="eastAsia" w:ascii="Times New Roman" w:hAnsi="Times New Roman" w:eastAsia="宋体" w:cs="Times New Roman"/>
                <w:kern w:val="44"/>
                <w:sz w:val="21"/>
                <w:szCs w:val="24"/>
                <w:lang w:val="en-US" w:eastAsia="zh-CN" w:bidi="ar-SA"/>
              </w:rPr>
              <w:fldChar w:fldCharType="separate"/>
            </w:r>
            <w:r>
              <w:rPr>
                <w:rFonts w:hint="eastAsia" w:ascii="Times New Roman" w:hAnsi="Times New Roman" w:eastAsia="宋体" w:cs="Times New Roman"/>
                <w:kern w:val="44"/>
                <w:sz w:val="21"/>
                <w:szCs w:val="24"/>
                <w:lang w:val="en-US" w:eastAsia="zh-CN" w:bidi="ar-SA"/>
              </w:rPr>
              <w:t>2025年11月4日9:00（含）至2025年11月10日17:00（不含）。</w:t>
            </w:r>
            <w:r>
              <w:rPr>
                <w:rFonts w:hint="eastAsia" w:ascii="Times New Roman" w:hAnsi="Times New Roman" w:eastAsia="宋体" w:cs="Times New Roman"/>
                <w:kern w:val="44"/>
                <w:sz w:val="21"/>
                <w:szCs w:val="24"/>
                <w:lang w:val="en-US" w:eastAsia="zh-CN" w:bidi="ar-SA"/>
              </w:rPr>
              <w:fldChar w:fldCharType="end"/>
            </w:r>
            <w:bookmarkEnd w:id="12"/>
            <w:r>
              <w:rPr>
                <w:b/>
                <w:bCs/>
                <w:kern w:val="44"/>
              </w:rPr>
              <w:t>管理人有权根据产品募集情况提前结束或延长募集期并相应调整产品成立日</w:t>
            </w:r>
            <w:r>
              <w:rPr>
                <w:kern w:val="4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000000"/>
                <w:kern w:val="0"/>
              </w:rPr>
            </w:pPr>
            <w:r>
              <w:rPr>
                <w:color w:val="000000"/>
                <w:kern w:val="0"/>
              </w:rPr>
              <w:t>产品认购</w:t>
            </w:r>
          </w:p>
        </w:tc>
        <w:tc>
          <w:tcPr>
            <w:tcW w:w="683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outlineLvl w:val="9"/>
              <w:rPr>
                <w:kern w:val="0"/>
              </w:rPr>
            </w:pPr>
            <w:r>
              <w:rPr>
                <w:kern w:val="44"/>
              </w:rPr>
              <w:t>在</w:t>
            </w:r>
            <w:r>
              <w:rPr>
                <w:rFonts w:hint="eastAsia"/>
                <w:kern w:val="44"/>
              </w:rPr>
              <w:t>本理财产品</w:t>
            </w:r>
            <w:r>
              <w:rPr>
                <w:kern w:val="44"/>
              </w:rPr>
              <w:t>的募集期内，</w:t>
            </w:r>
            <w:r>
              <w:rPr>
                <w:bCs/>
                <w:color w:val="000000"/>
                <w:kern w:val="0"/>
                <w:szCs w:val="21"/>
              </w:rPr>
              <w:t>投资者可申请认购本理财产品。</w:t>
            </w:r>
            <w:r>
              <w:rPr>
                <w:b/>
                <w:bCs/>
                <w:szCs w:val="21"/>
              </w:rPr>
              <w:t>认购资金自投资者认购之日起至</w:t>
            </w:r>
            <w:r>
              <w:rPr>
                <w:b/>
                <w:bCs/>
                <w:kern w:val="44"/>
                <w:szCs w:val="24"/>
              </w:rPr>
              <w:fldChar w:fldCharType="begin">
                <w:ffData>
                  <w:name w:val="Text109"/>
                  <w:enabled/>
                  <w:calcOnExit w:val="0"/>
                  <w:textInput>
                    <w:default w:val="成立日前一日"/>
                  </w:textInput>
                </w:ffData>
              </w:fldChar>
            </w:r>
            <w:r>
              <w:rPr>
                <w:b/>
                <w:bCs/>
                <w:kern w:val="44"/>
                <w:szCs w:val="24"/>
              </w:rPr>
              <w:instrText xml:space="preserve">FORMTEXT</w:instrText>
            </w:r>
            <w:r>
              <w:rPr>
                <w:b/>
                <w:bCs/>
                <w:kern w:val="44"/>
                <w:szCs w:val="24"/>
              </w:rPr>
              <w:fldChar w:fldCharType="separate"/>
            </w:r>
            <w:r>
              <w:rPr>
                <w:b/>
                <w:bCs/>
                <w:kern w:val="44"/>
                <w:szCs w:val="24"/>
              </w:rPr>
              <w:t>成立日前一日</w:t>
            </w:r>
            <w:r>
              <w:rPr>
                <w:b/>
                <w:bCs/>
                <w:kern w:val="44"/>
                <w:szCs w:val="24"/>
              </w:rPr>
              <w:fldChar w:fldCharType="end"/>
            </w:r>
            <w:r>
              <w:rPr>
                <w:b/>
                <w:bCs/>
                <w:szCs w:val="21"/>
              </w:rPr>
              <w:t>将自动冻结</w:t>
            </w:r>
            <w:r>
              <w:rPr>
                <w:rFonts w:hint="eastAsia"/>
                <w:b/>
                <w:bCs/>
                <w:szCs w:val="21"/>
                <w:highlight w:val="none"/>
                <w:lang w:eastAsia="zh-CN"/>
              </w:rPr>
              <w:t>（</w:t>
            </w:r>
            <w:r>
              <w:rPr>
                <w:rFonts w:hint="eastAsia"/>
                <w:b/>
                <w:bCs/>
                <w:szCs w:val="21"/>
                <w:highlight w:val="none"/>
                <w:lang w:val="en-US" w:eastAsia="zh-CN"/>
              </w:rPr>
              <w:t>代理销售机构的冻结规则可能与产品说明书不一致，具体以代理销售机构为准）</w:t>
            </w:r>
            <w:r>
              <w:rPr>
                <w:b/>
                <w:bCs/>
                <w:szCs w:val="21"/>
              </w:rPr>
              <w:t>。</w:t>
            </w:r>
            <w:r>
              <w:rPr>
                <w:b/>
                <w:bCs/>
                <w:kern w:val="0"/>
              </w:rPr>
              <w:t>在冻结期间交易账户内的理财认购资金</w:t>
            </w:r>
            <w:bookmarkStart w:id="13" w:name="Text19"/>
            <w:r>
              <w:rPr>
                <w:b/>
                <w:bCs/>
                <w:kern w:val="0"/>
              </w:rPr>
              <w:fldChar w:fldCharType="begin">
                <w:ffData>
                  <w:name w:val="Text19"/>
                  <w:enabled/>
                  <w:calcOnExit w:val="0"/>
                  <w:textInput>
                    <w:default w:val="如产生活期存款利息，将按人民币活期存款利率计息（具体以代理销售机构为准），前述利息不参与本理财产品的投资"/>
                  </w:textInput>
                </w:ffData>
              </w:fldChar>
            </w:r>
            <w:r>
              <w:rPr>
                <w:b/>
                <w:bCs/>
                <w:kern w:val="0"/>
              </w:rPr>
              <w:instrText xml:space="preserve">FORMTEXT</w:instrText>
            </w:r>
            <w:r>
              <w:rPr>
                <w:b/>
                <w:bCs/>
                <w:kern w:val="0"/>
              </w:rPr>
              <w:fldChar w:fldCharType="separate"/>
            </w:r>
            <w:r>
              <w:rPr>
                <w:b/>
                <w:bCs/>
                <w:kern w:val="0"/>
              </w:rPr>
              <w:t>如产生活期存款利息，将按人民币活期存款利率计息（具体以代理销售机构为准），前述利息不参与本理财产品的投资</w:t>
            </w:r>
            <w:r>
              <w:rPr>
                <w:b/>
                <w:bCs/>
                <w:kern w:val="0"/>
              </w:rPr>
              <w:fldChar w:fldCharType="end"/>
            </w:r>
            <w:bookmarkEnd w:id="13"/>
            <w:r>
              <w:rPr>
                <w:kern w:val="0"/>
              </w:rPr>
              <w:t>。投资者在募集期内的认购申请，可在</w:t>
            </w:r>
            <w:r>
              <w:rPr>
                <w:kern w:val="44"/>
              </w:rPr>
              <w:fldChar w:fldCharType="begin">
                <w:ffData>
                  <w:name w:val="Text109"/>
                  <w:enabled/>
                  <w:calcOnExit w:val="0"/>
                  <w:textInput>
                    <w:default w:val="募集期截止日17：00（不含）"/>
                  </w:textInput>
                </w:ffData>
              </w:fldChar>
            </w:r>
            <w:r>
              <w:rPr>
                <w:kern w:val="44"/>
              </w:rPr>
              <w:instrText xml:space="preserve">FORMTEXT</w:instrText>
            </w:r>
            <w:r>
              <w:rPr>
                <w:kern w:val="44"/>
              </w:rPr>
              <w:fldChar w:fldCharType="separate"/>
            </w:r>
            <w:r>
              <w:rPr>
                <w:kern w:val="44"/>
              </w:rPr>
              <w:t>募集期截止日17：00（不含）</w:t>
            </w:r>
            <w:r>
              <w:rPr>
                <w:kern w:val="44"/>
              </w:rPr>
              <w:fldChar w:fldCharType="end"/>
            </w:r>
            <w:r>
              <w:rPr>
                <w:kern w:val="0"/>
              </w:rPr>
              <w:t>之前撤单。</w:t>
            </w:r>
            <w:r>
              <w:rPr>
                <w:rFonts w:hint="eastAsia"/>
                <w:b/>
                <w:bCs/>
                <w:kern w:val="0"/>
                <w:highlight w:val="none"/>
              </w:rPr>
              <w:t>代理销售机构的实际受理申请时间</w:t>
            </w:r>
            <w:r>
              <w:rPr>
                <w:rFonts w:hint="eastAsia"/>
                <w:b/>
                <w:bCs/>
                <w:kern w:val="0"/>
                <w:highlight w:val="none"/>
                <w:lang w:eastAsia="zh-CN"/>
              </w:rPr>
              <w:t>、</w:t>
            </w:r>
            <w:r>
              <w:rPr>
                <w:rFonts w:hint="eastAsia"/>
                <w:b/>
                <w:bCs/>
                <w:kern w:val="0"/>
                <w:highlight w:val="none"/>
                <w:lang w:val="en-US" w:eastAsia="zh-CN"/>
              </w:rPr>
              <w:t>是否可撤单</w:t>
            </w:r>
            <w:r>
              <w:rPr>
                <w:rFonts w:hint="eastAsia"/>
                <w:b/>
                <w:bCs/>
                <w:kern w:val="0"/>
                <w:highlight w:val="none"/>
              </w:rPr>
              <w:t>及实际撤单规则可能与产品说明书不一致，具体以代理销售机构披露为准。</w:t>
            </w:r>
          </w:p>
          <w:p>
            <w:pPr>
              <w:autoSpaceDE w:val="0"/>
              <w:autoSpaceDN w:val="0"/>
              <w:adjustRightInd w:val="0"/>
              <w:spacing w:line="360" w:lineRule="auto"/>
              <w:rPr>
                <w:kern w:val="44"/>
              </w:rPr>
            </w:pPr>
            <w:r>
              <w:rPr>
                <w:b/>
                <w:bCs/>
                <w:color w:val="000000"/>
                <w:kern w:val="0"/>
              </w:rPr>
              <w:t>产品认购规则详见</w:t>
            </w:r>
            <w:r>
              <w:rPr>
                <w:rFonts w:hint="eastAsia"/>
                <w:b/>
                <w:bCs/>
                <w:color w:val="000000"/>
                <w:kern w:val="0"/>
              </w:rPr>
              <w:t>“六</w:t>
            </w:r>
            <w:r>
              <w:rPr>
                <w:b/>
                <w:bCs/>
                <w:color w:val="000000"/>
                <w:kern w:val="0"/>
              </w:rPr>
              <w:t>、理财产品认购</w:t>
            </w:r>
            <w:r>
              <w:rPr>
                <w:rFonts w:hint="eastAsia"/>
                <w:b/>
                <w:bCs/>
                <w:color w:val="000000"/>
                <w:kern w:val="0"/>
              </w:rPr>
              <w:t>和赎回”</w:t>
            </w:r>
            <w:r>
              <w:rPr>
                <w:b/>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000000"/>
                <w:kern w:val="0"/>
              </w:rPr>
            </w:pPr>
            <w:r>
              <w:rPr>
                <w:color w:val="000000"/>
                <w:kern w:val="0"/>
              </w:rPr>
              <w:t>成立日</w:t>
            </w:r>
          </w:p>
        </w:tc>
        <w:tc>
          <w:tcPr>
            <w:tcW w:w="683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b/>
                <w:bCs/>
                <w:kern w:val="44"/>
              </w:rPr>
            </w:pPr>
            <w:r>
              <w:rPr>
                <w:kern w:val="0"/>
              </w:rPr>
              <w:t>募集期结束之后，如管理人判定本理财产品成立，则本理财产品的成立日为</w:t>
            </w:r>
            <w:bookmarkStart w:id="14" w:name="Text70"/>
            <w:r>
              <w:rPr>
                <w:rFonts w:hint="eastAsia" w:ascii="Times New Roman" w:hAnsi="Times New Roman" w:eastAsia="宋体" w:cs="Times New Roman"/>
                <w:kern w:val="44"/>
                <w:sz w:val="21"/>
                <w:szCs w:val="24"/>
                <w:lang w:val="en-US" w:eastAsia="zh-CN" w:bidi="ar-SA"/>
              </w:rPr>
              <w:fldChar w:fldCharType="begin">
                <w:ffData>
                  <w:name w:val="Text70"/>
                  <w:enabled/>
                  <w:calcOnExit w:val="0"/>
                  <w:textInput>
                    <w:default w:val="2025年11月11日。"/>
                  </w:textInput>
                </w:ffData>
              </w:fldChar>
            </w:r>
            <w:r>
              <w:rPr>
                <w:rFonts w:hint="eastAsia" w:ascii="Times New Roman" w:hAnsi="Times New Roman" w:eastAsia="宋体" w:cs="Times New Roman"/>
                <w:kern w:val="44"/>
                <w:sz w:val="21"/>
                <w:szCs w:val="24"/>
                <w:lang w:val="en-US" w:eastAsia="zh-CN" w:bidi="ar-SA"/>
              </w:rPr>
              <w:instrText xml:space="preserve">FORMTEXT</w:instrText>
            </w:r>
            <w:r>
              <w:rPr>
                <w:rFonts w:hint="eastAsia" w:ascii="Times New Roman" w:hAnsi="Times New Roman" w:eastAsia="宋体" w:cs="Times New Roman"/>
                <w:kern w:val="44"/>
                <w:sz w:val="21"/>
                <w:szCs w:val="24"/>
                <w:lang w:val="en-US" w:eastAsia="zh-CN" w:bidi="ar-SA"/>
              </w:rPr>
              <w:fldChar w:fldCharType="separate"/>
            </w:r>
            <w:r>
              <w:rPr>
                <w:rFonts w:hint="eastAsia" w:ascii="Times New Roman" w:hAnsi="Times New Roman" w:eastAsia="宋体" w:cs="Times New Roman"/>
                <w:kern w:val="44"/>
                <w:sz w:val="21"/>
                <w:szCs w:val="24"/>
                <w:lang w:val="en-US" w:eastAsia="zh-CN" w:bidi="ar-SA"/>
              </w:rPr>
              <w:t>2025年11月11日。</w:t>
            </w:r>
            <w:r>
              <w:rPr>
                <w:rFonts w:hint="eastAsia" w:ascii="Times New Roman" w:hAnsi="Times New Roman" w:eastAsia="宋体" w:cs="Times New Roman"/>
                <w:kern w:val="44"/>
                <w:sz w:val="21"/>
                <w:szCs w:val="24"/>
                <w:lang w:val="en-US" w:eastAsia="zh-CN" w:bidi="ar-SA"/>
              </w:rPr>
              <w:fldChar w:fldCharType="end"/>
            </w:r>
            <w:bookmarkEnd w:id="14"/>
            <w:r>
              <w:rPr>
                <w:kern w:val="44"/>
              </w:rPr>
              <w:t xml:space="preserve"> </w:t>
            </w:r>
            <w:r>
              <w:rPr>
                <w:b/>
                <w:bCs/>
                <w:kern w:val="44"/>
              </w:rPr>
              <w:t>本理财产品的成立日最终以管理人公布的当期理财产品公告为准。</w:t>
            </w:r>
          </w:p>
          <w:p>
            <w:pPr>
              <w:spacing w:line="360" w:lineRule="auto"/>
              <w:rPr>
                <w:kern w:val="0"/>
              </w:rPr>
            </w:pPr>
            <w:r>
              <w:rPr>
                <w:kern w:val="44"/>
              </w:rPr>
              <w:t>投资者在募集期内提交的认购申请将在成立日进行确认，冻结的理财认购资金将在</w:t>
            </w:r>
            <w:r>
              <w:rPr>
                <w:rFonts w:ascii="Times New Roman" w:hAnsi="Times New Roman"/>
                <w:kern w:val="44"/>
                <w:sz w:val="21"/>
                <w:szCs w:val="24"/>
                <w:lang w:val="en-US" w:eastAsia="zh-CN" w:bidi="ar-SA"/>
              </w:rPr>
              <w:fldChar w:fldCharType="begin">
                <w:ffData>
                  <w:name w:val="Text109"/>
                  <w:enabled/>
                  <w:calcOnExit w:val="0"/>
                  <w:textInput>
                    <w:default w:val="成立日"/>
                  </w:textInput>
                </w:ffData>
              </w:fldChar>
            </w:r>
            <w:r>
              <w:rPr>
                <w:rFonts w:ascii="Times New Roman" w:hAnsi="Times New Roman"/>
                <w:kern w:val="44"/>
                <w:sz w:val="21"/>
                <w:szCs w:val="24"/>
                <w:lang w:val="en-US" w:eastAsia="zh-CN" w:bidi="ar-SA"/>
              </w:rPr>
              <w:instrText xml:space="preserve">FORMTEXT</w:instrText>
            </w:r>
            <w:r>
              <w:rPr>
                <w:rFonts w:ascii="Times New Roman" w:hAnsi="Times New Roman"/>
                <w:kern w:val="44"/>
                <w:sz w:val="21"/>
                <w:szCs w:val="24"/>
                <w:lang w:val="en-US" w:eastAsia="zh-CN" w:bidi="ar-SA"/>
              </w:rPr>
              <w:fldChar w:fldCharType="separate"/>
            </w:r>
            <w:r>
              <w:rPr>
                <w:rFonts w:ascii="Times New Roman" w:hAnsi="Times New Roman"/>
                <w:kern w:val="44"/>
                <w:sz w:val="21"/>
                <w:szCs w:val="24"/>
                <w:lang w:val="en-US" w:eastAsia="zh-CN" w:bidi="ar-SA"/>
              </w:rPr>
              <w:t>成立日</w:t>
            </w:r>
            <w:r>
              <w:rPr>
                <w:rFonts w:ascii="Times New Roman" w:hAnsi="Times New Roman"/>
                <w:kern w:val="44"/>
                <w:sz w:val="21"/>
                <w:szCs w:val="24"/>
                <w:lang w:val="en-US" w:eastAsia="zh-CN" w:bidi="ar-SA"/>
              </w:rPr>
              <w:fldChar w:fldCharType="end"/>
            </w:r>
            <w:r>
              <w:rPr>
                <w:kern w:val="44"/>
              </w:rPr>
              <w:t>完成扣款</w:t>
            </w:r>
            <w:r>
              <w:rPr>
                <w:rFonts w:hint="eastAsia"/>
                <w:kern w:val="44"/>
                <w:highlight w:val="none"/>
                <w:lang w:eastAsia="zh-CN"/>
              </w:rPr>
              <w:t>（</w:t>
            </w:r>
            <w:r>
              <w:rPr>
                <w:rFonts w:hint="eastAsia"/>
                <w:kern w:val="44"/>
                <w:highlight w:val="none"/>
                <w:lang w:val="en-US" w:eastAsia="zh-CN"/>
              </w:rPr>
              <w:t>代理销售机构的扣款规则可能与产品说明书不一致，具体以代理销售机构为准）</w:t>
            </w:r>
            <w:r>
              <w:rPr>
                <w:kern w:val="4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000000"/>
                <w:kern w:val="0"/>
              </w:rPr>
            </w:pPr>
            <w:r>
              <w:rPr>
                <w:color w:val="000000"/>
                <w:kern w:val="0"/>
                <w:szCs w:val="21"/>
              </w:rPr>
              <w:t>理财产品预计到期日</w:t>
            </w:r>
          </w:p>
        </w:tc>
        <w:tc>
          <w:tcPr>
            <w:tcW w:w="68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kern w:val="44"/>
              </w:rPr>
            </w:pPr>
            <w:bookmarkStart w:id="15" w:name="Text28"/>
            <w:r>
              <w:rPr>
                <w:rFonts w:hint="eastAsia" w:ascii="Times New Roman" w:hAnsi="Times New Roman" w:eastAsia="宋体" w:cs="Times New Roman"/>
                <w:kern w:val="44"/>
                <w:sz w:val="21"/>
                <w:szCs w:val="24"/>
                <w:lang w:val="en-US" w:eastAsia="zh-CN" w:bidi="ar-SA"/>
              </w:rPr>
              <w:fldChar w:fldCharType="begin">
                <w:ffData>
                  <w:name w:val="Text28"/>
                  <w:enabled/>
                  <w:calcOnExit w:val="0"/>
                  <w:textInput>
                    <w:default w:val="2028年11月7日。到期日遇非交易日顺延。"/>
                  </w:textInput>
                </w:ffData>
              </w:fldChar>
            </w:r>
            <w:r>
              <w:rPr>
                <w:rFonts w:hint="eastAsia" w:ascii="Times New Roman" w:hAnsi="Times New Roman" w:eastAsia="宋体" w:cs="Times New Roman"/>
                <w:kern w:val="44"/>
                <w:sz w:val="21"/>
                <w:szCs w:val="24"/>
                <w:lang w:val="en-US" w:eastAsia="zh-CN" w:bidi="ar-SA"/>
              </w:rPr>
              <w:instrText xml:space="preserve">FORMTEXT</w:instrText>
            </w:r>
            <w:r>
              <w:rPr>
                <w:rFonts w:hint="eastAsia" w:ascii="Times New Roman" w:hAnsi="Times New Roman" w:eastAsia="宋体" w:cs="Times New Roman"/>
                <w:kern w:val="44"/>
                <w:sz w:val="21"/>
                <w:szCs w:val="24"/>
                <w:lang w:val="en-US" w:eastAsia="zh-CN" w:bidi="ar-SA"/>
              </w:rPr>
              <w:fldChar w:fldCharType="separate"/>
            </w:r>
            <w:r>
              <w:rPr>
                <w:rFonts w:hint="eastAsia" w:ascii="Times New Roman" w:hAnsi="Times New Roman" w:eastAsia="宋体" w:cs="Times New Roman"/>
                <w:kern w:val="44"/>
                <w:sz w:val="21"/>
                <w:szCs w:val="24"/>
                <w:lang w:val="en-US" w:eastAsia="zh-CN" w:bidi="ar-SA"/>
              </w:rPr>
              <w:t>2028年11月7日。到期日遇非交易日顺延。</w:t>
            </w:r>
            <w:r>
              <w:rPr>
                <w:rFonts w:hint="eastAsia" w:ascii="Times New Roman" w:hAnsi="Times New Roman" w:eastAsia="宋体" w:cs="Times New Roman"/>
                <w:kern w:val="44"/>
                <w:sz w:val="21"/>
                <w:szCs w:val="24"/>
                <w:lang w:val="en-US" w:eastAsia="zh-CN" w:bidi="ar-SA"/>
              </w:rPr>
              <w:fldChar w:fldCharType="end"/>
            </w:r>
            <w:bookmarkEnd w:id="15"/>
            <w:r>
              <w:rPr>
                <w:b/>
                <w:bCs/>
                <w:color w:val="000000"/>
                <w:kern w:val="0"/>
              </w:rPr>
              <w:t>管理人有权根据实际情况决定提前终止</w:t>
            </w:r>
            <w:r>
              <w:rPr>
                <w:rFonts w:hint="eastAsia"/>
                <w:b/>
                <w:bCs/>
                <w:color w:val="000000"/>
                <w:kern w:val="0"/>
              </w:rPr>
              <w:t>本理财产品</w:t>
            </w:r>
            <w:r>
              <w:rPr>
                <w:b/>
                <w:bCs/>
                <w:color w:val="000000"/>
                <w:kern w:val="0"/>
              </w:rPr>
              <w:t>，管理人决定的提前终止日为终止日，详见管理人</w:t>
            </w:r>
            <w:r>
              <w:rPr>
                <w:b/>
                <w:bCs/>
                <w:kern w:val="44"/>
              </w:rPr>
              <w:t>公布的当期理财产品公告。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000000"/>
                <w:kern w:val="0"/>
                <w:szCs w:val="21"/>
              </w:rPr>
            </w:pPr>
            <w:r>
              <w:rPr>
                <w:color w:val="000000"/>
                <w:kern w:val="0"/>
              </w:rPr>
              <w:t>提前终止日/延期终止日</w:t>
            </w:r>
          </w:p>
        </w:tc>
        <w:tc>
          <w:tcPr>
            <w:tcW w:w="68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kern w:val="44"/>
              </w:rPr>
            </w:pPr>
            <w:r>
              <w:rPr>
                <w:kern w:val="44"/>
              </w:rPr>
              <w:t>在本</w:t>
            </w:r>
            <w:r>
              <w:rPr>
                <w:rFonts w:hint="eastAsia"/>
                <w:kern w:val="44"/>
              </w:rPr>
              <w:t>理财</w:t>
            </w:r>
            <w:r>
              <w:rPr>
                <w:kern w:val="44"/>
              </w:rPr>
              <w:t>产品存续期内，管理人有权视产品运行情况提前终止或延期终止本</w:t>
            </w:r>
            <w:r>
              <w:rPr>
                <w:rFonts w:hint="eastAsia"/>
                <w:kern w:val="44"/>
              </w:rPr>
              <w:t>理财</w:t>
            </w:r>
            <w:r>
              <w:rPr>
                <w:kern w:val="44"/>
              </w:rPr>
              <w:t>产品。</w:t>
            </w:r>
            <w:r>
              <w:rPr>
                <w:b/>
                <w:bCs/>
                <w:kern w:val="44"/>
              </w:rPr>
              <w:t>提前终止和延期终止规则详见“</w:t>
            </w:r>
            <w:r>
              <w:rPr>
                <w:rFonts w:hint="eastAsia"/>
                <w:b/>
                <w:bCs/>
                <w:kern w:val="44"/>
              </w:rPr>
              <w:t>十</w:t>
            </w:r>
            <w:r>
              <w:rPr>
                <w:b/>
                <w:bCs/>
                <w:kern w:val="44"/>
              </w:rPr>
              <w:t>、理财产品不成立、提前终止</w:t>
            </w:r>
            <w:r>
              <w:rPr>
                <w:b/>
                <w:kern w:val="0"/>
              </w:rPr>
              <w:t>、延期终止及清算</w:t>
            </w:r>
            <w:r>
              <w:rPr>
                <w:b/>
                <w:bCs/>
                <w:kern w:val="44"/>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000000"/>
                <w:kern w:val="0"/>
              </w:rPr>
            </w:pPr>
            <w:r>
              <w:rPr>
                <w:color w:val="000000"/>
                <w:kern w:val="0"/>
                <w:szCs w:val="21"/>
              </w:rPr>
              <w:t>认购起点金额</w:t>
            </w:r>
          </w:p>
        </w:tc>
        <w:tc>
          <w:tcPr>
            <w:tcW w:w="68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fldChar w:fldCharType="begin">
                <w:ffData>
                  <w:name w:val="Text75"/>
                  <w:enabled/>
                  <w:calcOnExit w:val="0"/>
                  <w:textInput>
                    <w:default w:val="A份额：1元；B份额：10万元；S份额：30万元；Q份额：1000万元；J份额：40万元；G份额：5万元；E份额：1元；F份额：1元；M份额：1元；P份额：1元。"/>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A份额：1元；</w:t>
            </w:r>
          </w:p>
          <w:p>
            <w:pPr>
              <w:spacing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t>B份额：10万元；</w:t>
            </w:r>
          </w:p>
          <w:p>
            <w:pPr>
              <w:spacing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t>S份额：30万元；</w:t>
            </w:r>
          </w:p>
          <w:p>
            <w:pPr>
              <w:spacing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t>Q份额：1000万元；</w:t>
            </w:r>
          </w:p>
          <w:p>
            <w:pPr>
              <w:spacing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t>J份额：40万元；</w:t>
            </w:r>
          </w:p>
          <w:p>
            <w:pPr>
              <w:spacing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t>G份额：5万元；</w:t>
            </w:r>
          </w:p>
          <w:p>
            <w:pPr>
              <w:spacing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t>E份额：1元；</w:t>
            </w:r>
          </w:p>
          <w:p>
            <w:pPr>
              <w:spacing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t>F份额：1元；</w:t>
            </w:r>
          </w:p>
          <w:p>
            <w:pPr>
              <w:spacing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t>M份额：1元；</w:t>
            </w:r>
          </w:p>
          <w:p>
            <w:pPr>
              <w:spacing w:line="360" w:lineRule="auto"/>
              <w:rPr>
                <w:kern w:val="0"/>
              </w:rPr>
            </w:pPr>
            <w:r>
              <w:rPr>
                <w:rFonts w:ascii="Times New Roman" w:hAnsi="Times New Roman" w:eastAsia="宋体" w:cs="Times New Roman"/>
                <w:kern w:val="0"/>
                <w:sz w:val="21"/>
                <w:szCs w:val="24"/>
                <w:highlight w:val="none"/>
                <w:lang w:val="en-US" w:eastAsia="zh-CN" w:bidi="ar-SA"/>
              </w:rPr>
              <w:t>P份额：1元。</w:t>
            </w:r>
            <w:r>
              <w:rPr>
                <w:rFonts w:ascii="Times New Roman" w:hAnsi="Times New Roman" w:eastAsia="宋体" w:cs="Times New Roman"/>
                <w:kern w:val="0"/>
                <w:sz w:val="21"/>
                <w:szCs w:val="24"/>
                <w:highlight w:val="none"/>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000000"/>
                <w:kern w:val="0"/>
              </w:rPr>
            </w:pPr>
            <w:r>
              <w:rPr>
                <w:color w:val="000000"/>
                <w:kern w:val="0"/>
                <w:szCs w:val="21"/>
              </w:rPr>
              <w:t>认购递增金额</w:t>
            </w:r>
          </w:p>
        </w:tc>
        <w:tc>
          <w:tcPr>
            <w:tcW w:w="68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fldChar w:fldCharType="begin">
                <w:ffData>
                  <w:name w:val="Text75"/>
                  <w:enabled/>
                  <w:calcOnExit w:val="0"/>
                  <w:textInput>
                    <w:default w:val="A份额：1元；B份额：1元；S份额：1元；Q份额：1元；J份额：1元；G份额：100元；E份额：1元；F份额：1元；M份额：1元；P份额：1元。"/>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A份额：1元；</w:t>
            </w:r>
          </w:p>
          <w:p>
            <w:pPr>
              <w:spacing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t>B份额：1元；</w:t>
            </w:r>
          </w:p>
          <w:p>
            <w:pPr>
              <w:spacing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t>S份额：1元；</w:t>
            </w:r>
          </w:p>
          <w:p>
            <w:pPr>
              <w:spacing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t>Q份额：1元；</w:t>
            </w:r>
          </w:p>
          <w:p>
            <w:pPr>
              <w:spacing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t>J份额：1元；</w:t>
            </w:r>
          </w:p>
          <w:p>
            <w:pPr>
              <w:spacing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t>G份额：100元；</w:t>
            </w:r>
          </w:p>
          <w:p>
            <w:pPr>
              <w:spacing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t>E份额：1元；</w:t>
            </w:r>
          </w:p>
          <w:p>
            <w:pPr>
              <w:spacing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t>F份额：1元；</w:t>
            </w:r>
          </w:p>
          <w:p>
            <w:pPr>
              <w:spacing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t>M份额：1元；</w:t>
            </w:r>
          </w:p>
          <w:p>
            <w:pPr>
              <w:spacing w:line="360" w:lineRule="auto"/>
              <w:rPr>
                <w:kern w:val="0"/>
              </w:rPr>
            </w:pPr>
            <w:r>
              <w:rPr>
                <w:rFonts w:ascii="Times New Roman" w:hAnsi="Times New Roman" w:eastAsia="宋体" w:cs="Times New Roman"/>
                <w:kern w:val="0"/>
                <w:sz w:val="21"/>
                <w:szCs w:val="24"/>
                <w:highlight w:val="none"/>
                <w:lang w:val="en-US" w:eastAsia="zh-CN" w:bidi="ar-SA"/>
              </w:rPr>
              <w:t>P份额：1元。</w:t>
            </w:r>
            <w:r>
              <w:rPr>
                <w:rFonts w:ascii="Times New Roman" w:hAnsi="Times New Roman" w:eastAsia="宋体" w:cs="Times New Roman"/>
                <w:kern w:val="0"/>
                <w:sz w:val="21"/>
                <w:szCs w:val="24"/>
                <w:highlight w:val="none"/>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olor w:val="000000"/>
                <w:kern w:val="0"/>
              </w:rPr>
            </w:pPr>
            <w:r>
              <w:rPr>
                <w:color w:val="000000"/>
                <w:kern w:val="0"/>
                <w:szCs w:val="21"/>
              </w:rPr>
              <w:t>认购</w:t>
            </w:r>
            <w:r>
              <w:rPr>
                <w:rFonts w:hint="eastAsia"/>
                <w:color w:val="000000"/>
                <w:kern w:val="0"/>
                <w:szCs w:val="21"/>
              </w:rPr>
              <w:t>金额限制</w:t>
            </w:r>
          </w:p>
        </w:tc>
        <w:tc>
          <w:tcPr>
            <w:tcW w:w="68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kern w:val="0"/>
              </w:rPr>
            </w:pPr>
            <w:bookmarkStart w:id="16" w:name="Text68"/>
            <w:r>
              <w:rPr>
                <w:rFonts w:hint="eastAsia" w:ascii="Times New Roman" w:hAnsi="Times New Roman" w:eastAsia="宋体" w:cs="Times New Roman"/>
                <w:kern w:val="44"/>
                <w:sz w:val="21"/>
                <w:szCs w:val="24"/>
                <w:lang w:val="en-US" w:eastAsia="zh-CN" w:bidi="ar-SA"/>
              </w:rPr>
              <w:fldChar w:fldCharType="begin">
                <w:ffData>
                  <w:name w:val="Text68"/>
                  <w:enabled/>
                  <w:calcOnExit w:val="0"/>
                  <w:textInput>
                    <w:default w:val="无限制。"/>
                  </w:textInput>
                </w:ffData>
              </w:fldChar>
            </w:r>
            <w:r>
              <w:rPr>
                <w:rFonts w:hint="eastAsia" w:ascii="Times New Roman" w:hAnsi="Times New Roman" w:eastAsia="宋体" w:cs="Times New Roman"/>
                <w:kern w:val="44"/>
                <w:sz w:val="21"/>
                <w:szCs w:val="24"/>
                <w:lang w:val="en-US" w:eastAsia="zh-CN" w:bidi="ar-SA"/>
              </w:rPr>
              <w:instrText xml:space="preserve">FORMTEXT</w:instrText>
            </w:r>
            <w:r>
              <w:rPr>
                <w:rFonts w:hint="eastAsia" w:ascii="Times New Roman" w:hAnsi="Times New Roman" w:eastAsia="宋体" w:cs="Times New Roman"/>
                <w:kern w:val="44"/>
                <w:sz w:val="21"/>
                <w:szCs w:val="24"/>
                <w:lang w:val="en-US" w:eastAsia="zh-CN" w:bidi="ar-SA"/>
              </w:rPr>
              <w:fldChar w:fldCharType="separate"/>
            </w:r>
            <w:r>
              <w:rPr>
                <w:rFonts w:hint="eastAsia" w:ascii="Times New Roman" w:hAnsi="Times New Roman" w:eastAsia="宋体" w:cs="Times New Roman"/>
                <w:kern w:val="44"/>
                <w:sz w:val="21"/>
                <w:szCs w:val="24"/>
                <w:lang w:val="en-US" w:eastAsia="zh-CN" w:bidi="ar-SA"/>
              </w:rPr>
              <w:t>无限制。</w:t>
            </w:r>
            <w:r>
              <w:rPr>
                <w:rFonts w:hint="eastAsia" w:ascii="Times New Roman" w:hAnsi="Times New Roman" w:eastAsia="宋体" w:cs="Times New Roman"/>
                <w:kern w:val="44"/>
                <w:sz w:val="21"/>
                <w:szCs w:val="24"/>
                <w:lang w:val="en-US" w:eastAsia="zh-CN" w:bidi="ar-SA"/>
              </w:rPr>
              <w:fldChar w:fldCharType="end"/>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000000"/>
                <w:kern w:val="0"/>
                <w:szCs w:val="21"/>
              </w:rPr>
            </w:pPr>
            <w:r>
              <w:rPr>
                <w:color w:val="000000"/>
                <w:kern w:val="0"/>
                <w:szCs w:val="21"/>
              </w:rPr>
              <w:t>最高持有份额限制</w:t>
            </w:r>
          </w:p>
        </w:tc>
        <w:tc>
          <w:tcPr>
            <w:tcW w:w="68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kern w:val="0"/>
              </w:rPr>
            </w:pPr>
            <w:bookmarkStart w:id="17" w:name="Text55"/>
            <w:r>
              <w:rPr>
                <w:rFonts w:hint="eastAsia"/>
                <w:b/>
                <w:bCs/>
                <w:kern w:val="0"/>
              </w:rPr>
              <w:fldChar w:fldCharType="begin">
                <w:ffData>
                  <w:name w:val="Text55"/>
                  <w:enabled/>
                  <w:calcOnExit w:val="0"/>
                  <w:textInput>
                    <w:default w:val="单一投资者持有份额不超过本理财产品总份额的50%。"/>
                  </w:textInput>
                </w:ffData>
              </w:fldChar>
            </w:r>
            <w:r>
              <w:rPr>
                <w:rFonts w:hint="eastAsia"/>
                <w:b/>
                <w:bCs/>
                <w:kern w:val="0"/>
              </w:rPr>
              <w:instrText xml:space="preserve">FORMTEXT</w:instrText>
            </w:r>
            <w:r>
              <w:rPr>
                <w:rFonts w:hint="eastAsia"/>
                <w:b/>
                <w:bCs/>
                <w:kern w:val="0"/>
              </w:rPr>
              <w:fldChar w:fldCharType="separate"/>
            </w:r>
            <w:r>
              <w:rPr>
                <w:rFonts w:hint="eastAsia"/>
                <w:b/>
                <w:bCs/>
                <w:kern w:val="0"/>
              </w:rPr>
              <w:t>单一投资者持有份额不超过本理财产品总份额的50%。</w:t>
            </w:r>
            <w:r>
              <w:rPr>
                <w:rFonts w:hint="eastAsia"/>
                <w:b/>
                <w:bCs/>
                <w:kern w:val="0"/>
              </w:rPr>
              <w:fldChar w:fldCharType="end"/>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000000"/>
                <w:kern w:val="0"/>
              </w:rPr>
            </w:pPr>
            <w:r>
              <w:rPr>
                <w:color w:val="000000"/>
                <w:kern w:val="0"/>
                <w:szCs w:val="21"/>
              </w:rPr>
              <w:t>业绩比较基准</w:t>
            </w:r>
          </w:p>
        </w:tc>
        <w:tc>
          <w:tcPr>
            <w:tcW w:w="68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eastAsia="宋体" w:cs="Times New Roman"/>
                <w:kern w:val="0"/>
                <w:sz w:val="21"/>
                <w:szCs w:val="24"/>
                <w:highlight w:val="none"/>
                <w:lang w:val="en-US" w:eastAsia="zh-CN" w:bidi="ar-SA"/>
              </w:rPr>
            </w:pPr>
            <w:bookmarkStart w:id="18" w:name="Text75"/>
            <w:bookmarkStart w:id="19" w:name="Text31"/>
            <w:r>
              <w:rPr>
                <w:rFonts w:ascii="Times New Roman" w:hAnsi="Times New Roman" w:eastAsia="宋体" w:cs="Times New Roman"/>
                <w:kern w:val="0"/>
                <w:sz w:val="21"/>
                <w:szCs w:val="24"/>
                <w:highlight w:val="none"/>
                <w:lang w:val="en-US" w:eastAsia="zh-CN" w:bidi="ar-SA"/>
              </w:rPr>
              <w:fldChar w:fldCharType="begin">
                <w:ffData>
                  <w:name w:val="Text75"/>
                  <w:enabled/>
                  <w:calcOnExit w:val="0"/>
                  <w:textInput>
                    <w:default w:val="A份额：2.50%-2.80%（年化）；B份额：2.53%-2.83%（年化）；S份额：2.55%-2.85%（年化）；Q份额：2.60%-2.90%（年化）；J份额：2.60%-2.90%（年化）；G份额：2.70%-3.00%（年化）；E份额：2.50%-2.80%（年化）；F份额：2.50%-2.80%（年化）；M份额：2.50%-2.80%（年化）；P份额：2.50%-2.80%（年化）。"/>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A份额：2.50%-2.80%（年化）；</w:t>
            </w:r>
          </w:p>
          <w:p>
            <w:pPr>
              <w:spacing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t>B份额：2.53%-2.83%（年化）；</w:t>
            </w:r>
          </w:p>
          <w:p>
            <w:pPr>
              <w:spacing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t>S份额：2.55%-2.85%（年化）；</w:t>
            </w:r>
          </w:p>
          <w:p>
            <w:pPr>
              <w:spacing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t>Q份额：2.60%-2.90%（年化）；</w:t>
            </w:r>
          </w:p>
          <w:p>
            <w:pPr>
              <w:spacing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t>J份额：2.60%-2.90%（年化）；</w:t>
            </w:r>
          </w:p>
          <w:p>
            <w:pPr>
              <w:spacing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t>G份额：2.70%-3.00%（年化）；</w:t>
            </w:r>
          </w:p>
          <w:p>
            <w:pPr>
              <w:spacing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t>E份额：2.50%-2.80%（年化）；</w:t>
            </w:r>
          </w:p>
          <w:p>
            <w:pPr>
              <w:spacing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t>F份额：2.50%-2.80%（年化）；</w:t>
            </w:r>
          </w:p>
          <w:p>
            <w:pPr>
              <w:spacing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t>M份额：2.50%-2.80%（年化）；</w:t>
            </w:r>
          </w:p>
          <w:p>
            <w:pPr>
              <w:spacing w:line="360" w:lineRule="auto"/>
              <w:rPr>
                <w:kern w:val="44"/>
              </w:rPr>
            </w:pPr>
            <w:r>
              <w:rPr>
                <w:rFonts w:ascii="Times New Roman" w:hAnsi="Times New Roman" w:eastAsia="宋体" w:cs="Times New Roman"/>
                <w:kern w:val="0"/>
                <w:sz w:val="21"/>
                <w:szCs w:val="24"/>
                <w:highlight w:val="none"/>
                <w:lang w:val="en-US" w:eastAsia="zh-CN" w:bidi="ar-SA"/>
              </w:rPr>
              <w:t>P份额：2.50%-2.80%（年化）。</w:t>
            </w:r>
            <w:r>
              <w:rPr>
                <w:rFonts w:ascii="Times New Roman" w:hAnsi="Times New Roman" w:eastAsia="宋体" w:cs="Times New Roman"/>
                <w:kern w:val="0"/>
                <w:sz w:val="21"/>
                <w:szCs w:val="24"/>
                <w:highlight w:val="none"/>
                <w:lang w:val="en-US" w:eastAsia="zh-CN" w:bidi="ar-SA"/>
              </w:rPr>
              <w:fldChar w:fldCharType="end"/>
            </w:r>
            <w:bookmarkEnd w:id="18"/>
            <w:r>
              <w:rPr>
                <w:kern w:val="44"/>
              </w:rPr>
              <w:fldChar w:fldCharType="begin">
                <w:ffData>
                  <w:name w:val="Text31"/>
                  <w:enabled/>
                  <w:calcOnExit w:val="0"/>
                  <w:textInput>
                    <w:default w:val="零售款：3.55%-3.95%（年化）；私享款：3.65%-4.05%（年化）；私人定制款：3.69%-4.09%（年化）。本业绩比较基准是根据产品拟投资资产收益水平及到期分配情况，综合考虑其他可能投资的符合本理财产品合同约定投资范围的资产仓位及收益情况，扣除相关产品费用及税金（如有）后，按照预设投资期限进行测算后的结果。"/>
                  </w:textInput>
                </w:ffData>
              </w:fldChar>
            </w:r>
            <w:r>
              <w:rPr>
                <w:kern w:val="44"/>
              </w:rPr>
              <w:instrText xml:space="preserve">FORMTEXT</w:instrText>
            </w:r>
            <w:r>
              <w:rPr>
                <w:kern w:val="44"/>
              </w:rPr>
              <w:fldChar w:fldCharType="separate"/>
            </w:r>
          </w:p>
          <w:p>
            <w:pPr>
              <w:spacing w:line="360" w:lineRule="auto"/>
              <w:rPr>
                <w:kern w:val="44"/>
              </w:rPr>
            </w:pPr>
            <w:r>
              <w:rPr>
                <w:kern w:val="44"/>
              </w:rPr>
              <w:t>业绩比较基准不是预期收益率，不代表产品的未来表现和实际收益，不构成对产品收益的承诺。</w:t>
            </w:r>
          </w:p>
          <w:p>
            <w:pPr>
              <w:spacing w:line="360" w:lineRule="auto"/>
              <w:rPr>
                <w:kern w:val="44"/>
              </w:rPr>
            </w:pPr>
            <w:r>
              <w:rPr>
                <w:kern w:val="44"/>
              </w:rPr>
              <w:t>本理财产品计划投资于固定收益类资产的比例不低于80%，其中非标准化债权类资产的比例不超过50%；投资于固收类衍生品类资产的比例不超过5%。本业绩比较基准由管理人依据理财产品的投资范围及比例、投资策略、收益测算、产品费用，并综合考量市场环境等因素制定。</w:t>
            </w:r>
            <w:r>
              <w:rPr>
                <w:kern w:val="44"/>
              </w:rPr>
              <w:fldChar w:fldCharType="end"/>
            </w:r>
            <w:bookmarkEnd w:id="19"/>
          </w:p>
          <w:p>
            <w:pPr>
              <w:spacing w:line="360" w:lineRule="auto"/>
              <w:rPr>
                <w:b/>
                <w:bCs/>
                <w:kern w:val="44"/>
              </w:rPr>
            </w:pPr>
            <w:r>
              <w:rPr>
                <w:rFonts w:eastAsia="微软雅黑"/>
                <w:b/>
                <w:bCs/>
                <w:color w:val="000000"/>
                <w:kern w:val="0"/>
              </w:rPr>
              <w:t xml:space="preserve">▲ </w:t>
            </w:r>
            <w:r>
              <w:rPr>
                <w:b/>
                <w:bCs/>
                <w:kern w:val="44"/>
              </w:rPr>
              <w:t>业绩比较基准是管理人基于过往投资经验及对理财产品存续期内市场波动的预判而对本理财产品设定的投资目标，业绩比较基准不代表本理财产品的未来表现和实际收益，亦不构成管理人对本理财产品的收益承诺。</w:t>
            </w:r>
          </w:p>
          <w:p>
            <w:pPr>
              <w:spacing w:line="360" w:lineRule="auto"/>
              <w:rPr>
                <w:kern w:val="0"/>
              </w:rPr>
            </w:pPr>
            <w:r>
              <w:rPr>
                <w:rFonts w:eastAsia="微软雅黑"/>
                <w:b/>
                <w:bCs/>
                <w:color w:val="000000"/>
                <w:kern w:val="0"/>
              </w:rPr>
              <w:t xml:space="preserve">▲ </w:t>
            </w:r>
            <w:r>
              <w:rPr>
                <w:b/>
                <w:kern w:val="0"/>
                <w:szCs w:val="21"/>
              </w:rPr>
              <w:t>管理人有权根据市场情况等不定期调整该业绩比较基准，并至少提前两个工作日披露，披露后自生效日起生效。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000000"/>
                <w:kern w:val="0"/>
              </w:rPr>
            </w:pPr>
            <w:r>
              <w:rPr>
                <w:color w:val="000000"/>
                <w:kern w:val="0"/>
                <w:szCs w:val="21"/>
              </w:rPr>
              <w:t>业绩报酬计提基准</w:t>
            </w:r>
          </w:p>
        </w:tc>
        <w:tc>
          <w:tcPr>
            <w:tcW w:w="68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kern w:val="44"/>
              </w:rPr>
            </w:pPr>
            <w:r>
              <w:rPr>
                <w:b/>
                <w:bCs/>
                <w:kern w:val="0"/>
              </w:rPr>
              <w:t>业绩报酬计提基准为管理人计算超额收益（如有）的依据，管理人对超过业绩计提基准的部分按照一定比例提取业绩报酬，具体业绩报酬计提基准详见</w:t>
            </w:r>
            <w:r>
              <w:rPr>
                <w:rFonts w:hint="eastAsia"/>
                <w:b/>
                <w:bCs/>
                <w:kern w:val="0"/>
              </w:rPr>
              <w:t>“七</w:t>
            </w:r>
            <w:r>
              <w:rPr>
                <w:b/>
                <w:bCs/>
                <w:kern w:val="0"/>
              </w:rPr>
              <w:t>、理财产品的</w:t>
            </w:r>
            <w:bookmarkStart w:id="20" w:name="Text84"/>
            <w:r>
              <w:rPr>
                <w:rFonts w:ascii="Times New Roman" w:hAnsi="Times New Roman" w:eastAsia="宋体" w:cs="Times New Roman"/>
                <w:b/>
                <w:bCs/>
                <w:kern w:val="0"/>
                <w:sz w:val="21"/>
                <w:szCs w:val="24"/>
                <w:lang w:val="en-US" w:eastAsia="zh-CN" w:bidi="ar-SA"/>
              </w:rPr>
              <w:fldChar w:fldCharType="begin">
                <w:ffData>
                  <w:name w:val="Text84"/>
                  <w:enabled/>
                  <w:calcOnExit w:val="0"/>
                  <w:textInput>
                    <w:default w:val="费用、税收和质押"/>
                  </w:textInput>
                </w:ffData>
              </w:fldChar>
            </w:r>
            <w:r>
              <w:rPr>
                <w:rFonts w:ascii="Times New Roman" w:hAnsi="Times New Roman" w:eastAsia="宋体" w:cs="Times New Roman"/>
                <w:b/>
                <w:bCs/>
                <w:kern w:val="0"/>
                <w:sz w:val="21"/>
                <w:szCs w:val="24"/>
                <w:lang w:val="en-US" w:eastAsia="zh-CN" w:bidi="ar-SA"/>
              </w:rPr>
              <w:instrText xml:space="preserve">FORMTEXT</w:instrText>
            </w:r>
            <w:r>
              <w:rPr>
                <w:rFonts w:ascii="Times New Roman" w:hAnsi="Times New Roman" w:eastAsia="宋体" w:cs="Times New Roman"/>
                <w:b/>
                <w:bCs/>
                <w:kern w:val="0"/>
                <w:sz w:val="21"/>
                <w:szCs w:val="24"/>
                <w:lang w:val="en-US" w:eastAsia="zh-CN" w:bidi="ar-SA"/>
              </w:rPr>
              <w:fldChar w:fldCharType="separate"/>
            </w:r>
            <w:r>
              <w:rPr>
                <w:rFonts w:ascii="Times New Roman" w:hAnsi="Times New Roman" w:eastAsia="宋体" w:cs="Times New Roman"/>
                <w:b/>
                <w:bCs/>
                <w:kern w:val="0"/>
                <w:sz w:val="21"/>
                <w:szCs w:val="24"/>
                <w:lang w:val="en-US" w:eastAsia="zh-CN" w:bidi="ar-SA"/>
              </w:rPr>
              <w:t>费用、税收和质押</w:t>
            </w:r>
            <w:r>
              <w:rPr>
                <w:rFonts w:ascii="Times New Roman" w:hAnsi="Times New Roman" w:eastAsia="宋体" w:cs="Times New Roman"/>
                <w:b/>
                <w:bCs/>
                <w:kern w:val="0"/>
                <w:sz w:val="21"/>
                <w:szCs w:val="24"/>
                <w:lang w:val="en-US" w:eastAsia="zh-CN" w:bidi="ar-SA"/>
              </w:rPr>
              <w:fldChar w:fldCharType="end"/>
            </w:r>
            <w:bookmarkEnd w:id="20"/>
            <w:r>
              <w:rPr>
                <w:rFonts w:hint="eastAsia"/>
                <w:b/>
                <w:bCs/>
                <w:kern w:val="0"/>
              </w:rPr>
              <w:t>”</w:t>
            </w:r>
            <w:r>
              <w:rPr>
                <w:b/>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000000"/>
                <w:kern w:val="0"/>
                <w:szCs w:val="21"/>
              </w:rPr>
            </w:pPr>
            <w:r>
              <w:rPr>
                <w:color w:val="000000"/>
                <w:kern w:val="0"/>
                <w:szCs w:val="21"/>
              </w:rPr>
              <w:t>产品费用</w:t>
            </w:r>
          </w:p>
        </w:tc>
        <w:tc>
          <w:tcPr>
            <w:tcW w:w="68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kern w:val="0"/>
              </w:rPr>
            </w:pPr>
            <w:r>
              <w:rPr>
                <w:kern w:val="0"/>
              </w:rPr>
              <w:t>1. 固定管理费率：</w:t>
            </w:r>
            <w:r>
              <w:rPr>
                <w:kern w:val="0"/>
              </w:rPr>
              <w:fldChar w:fldCharType="begin">
                <w:ffData>
                  <w:enabled/>
                  <w:calcOnExit w:val="0"/>
                  <w:textInput>
                    <w:default w:val="【0.30】%/年"/>
                  </w:textInput>
                </w:ffData>
              </w:fldChar>
            </w:r>
            <w:r>
              <w:rPr>
                <w:kern w:val="0"/>
              </w:rPr>
              <w:instrText xml:space="preserve"> FORMTEXT </w:instrText>
            </w:r>
            <w:r>
              <w:rPr>
                <w:kern w:val="0"/>
              </w:rPr>
              <w:fldChar w:fldCharType="separate"/>
            </w:r>
            <w:r>
              <w:rPr>
                <w:rFonts w:hint="eastAsia"/>
                <w:kern w:val="0"/>
              </w:rPr>
              <w:t>【0.</w:t>
            </w:r>
            <w:r>
              <w:rPr>
                <w:rFonts w:hint="eastAsia"/>
                <w:kern w:val="0"/>
                <w:lang w:val="en-US" w:eastAsia="zh-CN"/>
              </w:rPr>
              <w:t>5</w:t>
            </w:r>
            <w:r>
              <w:rPr>
                <w:rFonts w:hint="eastAsia"/>
                <w:kern w:val="0"/>
              </w:rPr>
              <w:t>0】%/年</w:t>
            </w:r>
            <w:r>
              <w:rPr>
                <w:kern w:val="0"/>
              </w:rPr>
              <w:fldChar w:fldCharType="end"/>
            </w:r>
          </w:p>
          <w:p>
            <w:pPr>
              <w:spacing w:line="360" w:lineRule="auto"/>
              <w:rPr>
                <w:kern w:val="0"/>
              </w:rPr>
            </w:pPr>
            <w:r>
              <w:rPr>
                <w:kern w:val="0"/>
              </w:rPr>
              <w:t>2. 销售费率：</w:t>
            </w:r>
            <w:r>
              <w:rPr>
                <w:kern w:val="0"/>
              </w:rPr>
              <w:fldChar w:fldCharType="begin">
                <w:ffData>
                  <w:name w:val="Text14"/>
                  <w:enabled/>
                  <w:calcOnExit w:val="0"/>
                  <w:textInput>
                    <w:default w:val="【0.30】%/年"/>
                  </w:textInput>
                </w:ffData>
              </w:fldChar>
            </w:r>
            <w:bookmarkStart w:id="21" w:name="Text14"/>
            <w:r>
              <w:rPr>
                <w:kern w:val="0"/>
              </w:rPr>
              <w:instrText xml:space="preserve"> FORMTEXT </w:instrText>
            </w:r>
            <w:r>
              <w:rPr>
                <w:kern w:val="0"/>
              </w:rPr>
              <w:fldChar w:fldCharType="separate"/>
            </w:r>
            <w:r>
              <w:rPr>
                <w:rFonts w:hint="eastAsia"/>
                <w:kern w:val="0"/>
              </w:rPr>
              <w:t>【0.</w:t>
            </w:r>
            <w:r>
              <w:rPr>
                <w:rFonts w:hint="eastAsia"/>
                <w:kern w:val="0"/>
                <w:lang w:val="en-US" w:eastAsia="zh-CN"/>
              </w:rPr>
              <w:t>5</w:t>
            </w:r>
            <w:r>
              <w:rPr>
                <w:rFonts w:hint="eastAsia"/>
                <w:kern w:val="0"/>
              </w:rPr>
              <w:t>0】%/年</w:t>
            </w:r>
            <w:r>
              <w:rPr>
                <w:kern w:val="0"/>
              </w:rPr>
              <w:fldChar w:fldCharType="end"/>
            </w:r>
            <w:bookmarkEnd w:id="21"/>
          </w:p>
          <w:p>
            <w:pPr>
              <w:spacing w:line="360" w:lineRule="auto"/>
              <w:rPr>
                <w:kern w:val="0"/>
              </w:rPr>
            </w:pPr>
            <w:r>
              <w:rPr>
                <w:kern w:val="0"/>
              </w:rPr>
              <w:t>3. 托管费率：</w:t>
            </w:r>
            <w:r>
              <w:rPr>
                <w:kern w:val="0"/>
              </w:rPr>
              <w:fldChar w:fldCharType="begin">
                <w:ffData>
                  <w:enabled/>
                  <w:calcOnExit w:val="0"/>
                  <w:textInput>
                    <w:default w:val="【0.03】%/年"/>
                  </w:textInput>
                </w:ffData>
              </w:fldChar>
            </w:r>
            <w:r>
              <w:rPr>
                <w:kern w:val="0"/>
              </w:rPr>
              <w:instrText xml:space="preserve"> FORMTEXT </w:instrText>
            </w:r>
            <w:r>
              <w:rPr>
                <w:kern w:val="0"/>
              </w:rPr>
              <w:fldChar w:fldCharType="separate"/>
            </w:r>
            <w:r>
              <w:rPr>
                <w:rFonts w:hint="eastAsia"/>
                <w:kern w:val="0"/>
              </w:rPr>
              <w:t>【0.03】%/年</w:t>
            </w:r>
            <w:r>
              <w:rPr>
                <w:kern w:val="0"/>
              </w:rPr>
              <w:fldChar w:fldCharType="end"/>
            </w:r>
          </w:p>
          <w:p>
            <w:pPr>
              <w:spacing w:line="360" w:lineRule="auto"/>
              <w:rPr>
                <w:color w:val="000000"/>
                <w:kern w:val="44"/>
                <w:szCs w:val="21"/>
              </w:rPr>
            </w:pPr>
            <w:r>
              <w:rPr>
                <w:b/>
                <w:bCs/>
                <w:kern w:val="0"/>
              </w:rPr>
              <w:t>4. 业绩报酬：</w:t>
            </w:r>
            <w:r>
              <w:rPr>
                <w:b/>
                <w:bCs/>
                <w:kern w:val="0"/>
              </w:rPr>
              <w:fldChar w:fldCharType="begin">
                <w:ffData>
                  <w:name w:val="Text17"/>
                  <w:enabled/>
                  <w:calcOnExit w:val="0"/>
                  <w:textInput/>
                </w:ffData>
              </w:fldChar>
            </w:r>
            <w:r>
              <w:rPr>
                <w:b/>
                <w:bCs/>
                <w:kern w:val="0"/>
              </w:rPr>
              <w:instrText xml:space="preserve">FORMTEXT</w:instrText>
            </w:r>
            <w:r>
              <w:rPr>
                <w:b/>
                <w:bCs/>
                <w:kern w:val="0"/>
              </w:rPr>
              <w:fldChar w:fldCharType="separate"/>
            </w:r>
            <w:r>
              <w:t>在</w:t>
            </w:r>
            <w:r>
              <w:rPr>
                <w:rFonts w:hint="eastAsia"/>
              </w:rPr>
              <w:t>本理财产品</w:t>
            </w:r>
            <w:r>
              <w:t>约定的业绩报酬计提周期内，如</w:t>
            </w:r>
            <w:r>
              <w:rPr>
                <w:rFonts w:hint="eastAsia"/>
              </w:rPr>
              <w:t>本理财产品</w:t>
            </w:r>
            <w:r>
              <w:t>的实际年化收益率超过业绩报酬计提基准</w:t>
            </w:r>
            <w:r>
              <w:rPr>
                <w:rFonts w:hint="eastAsia"/>
              </w:rPr>
              <w:t>即【业绩比较基准区间下限】</w:t>
            </w:r>
            <w:r>
              <w:t>，则超出部分为超额收益，管理人将按照超额收益</w:t>
            </w:r>
            <w:r>
              <w:rPr>
                <w:rFonts w:hint="eastAsia"/>
              </w:rPr>
              <w:t>的</w:t>
            </w:r>
            <w:r>
              <w:rPr>
                <w:rFonts w:hint="eastAsia"/>
                <w:lang w:val="en-US" w:eastAsia="zh-CN"/>
              </w:rPr>
              <w:t>4</w:t>
            </w:r>
            <w:r>
              <w:rPr>
                <w:rFonts w:hint="eastAsia"/>
              </w:rPr>
              <w:t>0%</w:t>
            </w:r>
            <w:r>
              <w:t>提取业绩报酬；若无超额收益，管理人不提取业绩报酬。</w:t>
            </w:r>
            <w:r>
              <w:rPr>
                <w:b/>
                <w:bCs/>
                <w:kern w:val="0"/>
              </w:rPr>
              <w:fldChar w:fldCharType="end"/>
            </w:r>
          </w:p>
          <w:p>
            <w:pPr>
              <w:spacing w:line="360" w:lineRule="auto"/>
            </w:pPr>
            <w:r>
              <w:rPr>
                <w:b/>
                <w:bCs/>
              </w:rPr>
              <w:t>理财产品存续期内，管理人根据市场情况或相关法律和国家政策规定需对业绩报酬提取的比例、标准等进行调整时，管理人将提前</w:t>
            </w:r>
            <w:bookmarkStart w:id="22" w:name="Text20"/>
            <w:r>
              <w:rPr>
                <w:b/>
                <w:bCs/>
                <w:kern w:val="0"/>
              </w:rPr>
              <w:fldChar w:fldCharType="begin">
                <w:ffData>
                  <w:name w:val="Text20"/>
                  <w:enabled/>
                  <w:calcOnExit w:val="0"/>
                  <w:textInput>
                    <w:default w:val="三"/>
                  </w:textInput>
                </w:ffData>
              </w:fldChar>
            </w:r>
            <w:r>
              <w:rPr>
                <w:b/>
                <w:bCs/>
                <w:kern w:val="0"/>
              </w:rPr>
              <w:instrText xml:space="preserve">FORMTEXT</w:instrText>
            </w:r>
            <w:r>
              <w:rPr>
                <w:b/>
                <w:bCs/>
                <w:kern w:val="0"/>
              </w:rPr>
              <w:fldChar w:fldCharType="separate"/>
            </w:r>
            <w:r>
              <w:rPr>
                <w:b/>
                <w:bCs/>
                <w:kern w:val="0"/>
              </w:rPr>
              <w:t>三</w:t>
            </w:r>
            <w:r>
              <w:rPr>
                <w:b/>
                <w:bCs/>
                <w:kern w:val="0"/>
              </w:rPr>
              <w:fldChar w:fldCharType="end"/>
            </w:r>
            <w:bookmarkEnd w:id="22"/>
            <w:r>
              <w:rPr>
                <w:b/>
                <w:bCs/>
                <w:kern w:val="0"/>
              </w:rPr>
              <w:t>个工作日</w:t>
            </w:r>
            <w:r>
              <w:rPr>
                <w:b/>
                <w:bCs/>
                <w:color w:val="000000"/>
                <w:kern w:val="44"/>
                <w:szCs w:val="21"/>
              </w:rPr>
              <w:t>通过《投资者权益须知》</w:t>
            </w:r>
            <w:r>
              <w:rPr>
                <w:rFonts w:hint="eastAsia"/>
                <w:b/>
                <w:bCs/>
                <w:color w:val="000000"/>
                <w:kern w:val="44"/>
                <w:szCs w:val="21"/>
              </w:rPr>
              <w:t>“</w:t>
            </w:r>
            <w:r>
              <w:rPr>
                <w:b/>
                <w:bCs/>
                <w:color w:val="000000"/>
                <w:kern w:val="44"/>
                <w:szCs w:val="21"/>
              </w:rPr>
              <w:t>信息披露</w:t>
            </w:r>
            <w:r>
              <w:rPr>
                <w:rFonts w:hint="eastAsia"/>
                <w:b/>
                <w:bCs/>
                <w:color w:val="000000"/>
                <w:kern w:val="44"/>
                <w:szCs w:val="21"/>
              </w:rPr>
              <w:t>”</w:t>
            </w:r>
            <w:r>
              <w:rPr>
                <w:b/>
                <w:bCs/>
                <w:color w:val="000000"/>
                <w:kern w:val="44"/>
                <w:szCs w:val="21"/>
              </w:rPr>
              <w:t>约定的方式</w:t>
            </w:r>
            <w:r>
              <w:rPr>
                <w:b/>
                <w:bCs/>
              </w:rPr>
              <w:t>进行信息披露</w:t>
            </w:r>
            <w:r>
              <w:rPr>
                <w:rFonts w:hint="eastAsia"/>
                <w:b/>
                <w:bCs/>
              </w:rPr>
              <w:t>。</w:t>
            </w:r>
            <w:r>
              <w:rPr>
                <w:rFonts w:hint="eastAsia"/>
                <w:b/>
                <w:bCs/>
                <w:color w:val="000000"/>
                <w:kern w:val="44"/>
                <w:szCs w:val="21"/>
              </w:rPr>
              <w:t>如涉及提高服务费率</w:t>
            </w:r>
            <w:r>
              <w:rPr>
                <w:b/>
                <w:bCs/>
                <w:color w:val="000000"/>
                <w:kern w:val="44"/>
                <w:szCs w:val="21"/>
              </w:rPr>
              <w:t>或新增服务收费项目</w:t>
            </w:r>
            <w:r>
              <w:rPr>
                <w:rFonts w:hint="eastAsia"/>
                <w:b/>
                <w:bCs/>
                <w:color w:val="000000"/>
                <w:kern w:val="44"/>
                <w:szCs w:val="21"/>
              </w:rPr>
              <w:t>等情形时，</w:t>
            </w:r>
            <w:r>
              <w:rPr>
                <w:b/>
                <w:bCs/>
                <w:lang w:bidi="ar"/>
              </w:rPr>
              <w:t>应当先</w:t>
            </w:r>
            <w:r>
              <w:rPr>
                <w:rFonts w:hint="eastAsia"/>
                <w:b/>
                <w:bCs/>
                <w:lang w:bidi="ar"/>
              </w:rPr>
              <w:t>征得</w:t>
            </w:r>
            <w:r>
              <w:rPr>
                <w:b/>
                <w:bCs/>
                <w:lang w:bidi="ar"/>
              </w:rPr>
              <w:t>投资者同意</w:t>
            </w:r>
            <w:r>
              <w:rPr>
                <w:rFonts w:hint="eastAsia"/>
                <w:b/>
                <w:bCs/>
                <w:lang w:bidi="ar"/>
              </w:rPr>
              <w:t>；</w:t>
            </w:r>
            <w:r>
              <w:rPr>
                <w:b/>
                <w:bCs/>
              </w:rPr>
              <w:t>投资者不接受的，</w:t>
            </w:r>
            <w:r>
              <w:rPr>
                <w:rFonts w:hint="eastAsia"/>
                <w:b/>
                <w:bCs/>
                <w:color w:val="000000"/>
                <w:kern w:val="44"/>
                <w:szCs w:val="21"/>
              </w:rPr>
              <w:t>管理人将根据法律法规要求允许投资者提前赎回本理财产品，具体方式等以届时公告为准</w:t>
            </w:r>
            <w:r>
              <w:rPr>
                <w:rFonts w:hint="eastAsia"/>
                <w:b/>
                <w:bCs/>
              </w:rPr>
              <w:t>。</w:t>
            </w:r>
          </w:p>
          <w:p>
            <w:pPr>
              <w:spacing w:line="360" w:lineRule="auto"/>
              <w:rPr>
                <w:b/>
                <w:bCs/>
                <w:color w:val="000000"/>
                <w:kern w:val="0"/>
                <w:szCs w:val="21"/>
              </w:rPr>
            </w:pPr>
            <w:r>
              <w:t>5</w:t>
            </w:r>
            <w:r>
              <w:rPr>
                <w:b/>
                <w:bCs/>
                <w:color w:val="000000"/>
                <w:kern w:val="0"/>
                <w:szCs w:val="21"/>
              </w:rPr>
              <w:t xml:space="preserve">. </w:t>
            </w:r>
            <w:r>
              <w:rPr>
                <w:color w:val="000000"/>
                <w:kern w:val="0"/>
                <w:szCs w:val="21"/>
              </w:rPr>
              <w:t>其他费用：</w:t>
            </w:r>
            <w:r>
              <w:rPr>
                <w:color w:val="000000"/>
                <w:kern w:val="44"/>
                <w:szCs w:val="21"/>
              </w:rPr>
              <w:t>会计师费、律师费、交易费、手续费等按照国家有关法令规定属于理财资产应列支和承担的一切费用，具体以实际发生为准，按相关法令规定或合同约定支付。</w:t>
            </w:r>
          </w:p>
          <w:p>
            <w:pPr>
              <w:spacing w:line="360" w:lineRule="auto"/>
              <w:rPr>
                <w:color w:val="000000"/>
                <w:kern w:val="0"/>
                <w:szCs w:val="21"/>
              </w:rPr>
            </w:pPr>
            <w:r>
              <w:rPr>
                <w:b/>
                <w:bCs/>
                <w:color w:val="000000"/>
                <w:kern w:val="0"/>
                <w:szCs w:val="21"/>
              </w:rPr>
              <w:t>其他产品费用规则详见</w:t>
            </w:r>
            <w:r>
              <w:rPr>
                <w:rFonts w:hint="eastAsia"/>
                <w:b/>
                <w:bCs/>
                <w:color w:val="000000"/>
                <w:kern w:val="0"/>
                <w:szCs w:val="21"/>
              </w:rPr>
              <w:t>“</w:t>
            </w:r>
            <w:r>
              <w:rPr>
                <w:rFonts w:hint="eastAsia"/>
                <w:b/>
                <w:bCs/>
                <w:kern w:val="0"/>
              </w:rPr>
              <w:t>七</w:t>
            </w:r>
            <w:r>
              <w:rPr>
                <w:b/>
                <w:bCs/>
              </w:rPr>
              <w:t>、理财产品的</w:t>
            </w:r>
            <w:bookmarkStart w:id="23" w:name="Text82"/>
            <w:r>
              <w:rPr>
                <w:rFonts w:ascii="Times New Roman" w:hAnsi="Times New Roman" w:eastAsia="宋体" w:cs="Times New Roman"/>
                <w:b/>
                <w:bCs/>
                <w:kern w:val="2"/>
                <w:sz w:val="21"/>
                <w:szCs w:val="24"/>
                <w:lang w:val="en-US" w:eastAsia="zh-CN" w:bidi="ar-SA"/>
              </w:rPr>
              <w:fldChar w:fldCharType="begin">
                <w:ffData>
                  <w:name w:val="Text82"/>
                  <w:enabled/>
                  <w:calcOnExit w:val="0"/>
                  <w:textInput>
                    <w:default w:val="费用、税收和质押"/>
                  </w:textInput>
                </w:ffData>
              </w:fldChar>
            </w:r>
            <w:r>
              <w:rPr>
                <w:rFonts w:ascii="Times New Roman" w:hAnsi="Times New Roman" w:eastAsia="宋体" w:cs="Times New Roman"/>
                <w:b/>
                <w:bCs/>
                <w:kern w:val="2"/>
                <w:sz w:val="21"/>
                <w:szCs w:val="24"/>
                <w:lang w:val="en-US" w:eastAsia="zh-CN" w:bidi="ar-SA"/>
              </w:rPr>
              <w:instrText xml:space="preserve">FORMTEXT</w:instrText>
            </w:r>
            <w:r>
              <w:rPr>
                <w:rFonts w:ascii="Times New Roman" w:hAnsi="Times New Roman" w:eastAsia="宋体" w:cs="Times New Roman"/>
                <w:b/>
                <w:bCs/>
                <w:kern w:val="2"/>
                <w:sz w:val="21"/>
                <w:szCs w:val="24"/>
                <w:lang w:val="en-US" w:eastAsia="zh-CN" w:bidi="ar-SA"/>
              </w:rPr>
              <w:fldChar w:fldCharType="separate"/>
            </w:r>
            <w:r>
              <w:rPr>
                <w:rFonts w:ascii="Times New Roman" w:hAnsi="Times New Roman" w:eastAsia="宋体" w:cs="Times New Roman"/>
                <w:b/>
                <w:bCs/>
                <w:kern w:val="2"/>
                <w:sz w:val="21"/>
                <w:szCs w:val="24"/>
                <w:lang w:val="en-US" w:eastAsia="zh-CN" w:bidi="ar-SA"/>
              </w:rPr>
              <w:t>费用、税收和质押</w:t>
            </w:r>
            <w:r>
              <w:rPr>
                <w:rFonts w:ascii="Times New Roman" w:hAnsi="Times New Roman" w:eastAsia="宋体" w:cs="Times New Roman"/>
                <w:b/>
                <w:bCs/>
                <w:kern w:val="2"/>
                <w:sz w:val="21"/>
                <w:szCs w:val="24"/>
                <w:lang w:val="en-US" w:eastAsia="zh-CN" w:bidi="ar-SA"/>
              </w:rPr>
              <w:fldChar w:fldCharType="end"/>
            </w:r>
            <w:bookmarkEnd w:id="23"/>
            <w:r>
              <w:rPr>
                <w:rFonts w:hint="eastAsia"/>
                <w:b/>
                <w:bCs/>
                <w:color w:val="000000"/>
                <w:kern w:val="0"/>
                <w:szCs w:val="21"/>
              </w:rPr>
              <w:t>”</w:t>
            </w:r>
            <w:r>
              <w:rPr>
                <w:b/>
                <w:bCs/>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000000"/>
                <w:kern w:val="0"/>
                <w:szCs w:val="21"/>
              </w:rPr>
            </w:pPr>
            <w:r>
              <w:rPr>
                <w:color w:val="000000"/>
                <w:kern w:val="0"/>
                <w:szCs w:val="21"/>
              </w:rPr>
              <w:t>收益分配方式</w:t>
            </w:r>
          </w:p>
        </w:tc>
        <w:tc>
          <w:tcPr>
            <w:tcW w:w="68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000000"/>
                <w:kern w:val="0"/>
                <w:szCs w:val="21"/>
              </w:rPr>
            </w:pPr>
            <w:r>
              <w:rPr>
                <w:color w:val="000000"/>
                <w:kern w:val="0"/>
                <w:szCs w:val="21"/>
              </w:rPr>
              <w:t>管理人将视</w:t>
            </w:r>
            <w:r>
              <w:rPr>
                <w:rFonts w:hint="eastAsia"/>
                <w:color w:val="000000"/>
                <w:kern w:val="0"/>
                <w:szCs w:val="21"/>
              </w:rPr>
              <w:t>本理财产品</w:t>
            </w:r>
            <w:r>
              <w:rPr>
                <w:color w:val="000000"/>
                <w:kern w:val="0"/>
                <w:szCs w:val="21"/>
              </w:rPr>
              <w:t>运作情况进行收益分配，分配方式</w:t>
            </w:r>
            <w:r>
              <w:rPr>
                <w:color w:val="000000"/>
                <w:kern w:val="0"/>
                <w:szCs w:val="21"/>
              </w:rPr>
              <w:fldChar w:fldCharType="begin">
                <w:ffData>
                  <w:name w:val="Text18"/>
                  <w:enabled/>
                  <w:calcOnExit w:val="0"/>
                  <w:textInput>
                    <w:default w:val="仅限现金分配"/>
                  </w:textInput>
                </w:ffData>
              </w:fldChar>
            </w:r>
            <w:r>
              <w:rPr>
                <w:color w:val="000000"/>
                <w:kern w:val="0"/>
                <w:szCs w:val="21"/>
              </w:rPr>
              <w:instrText xml:space="preserve">FORMTEXT</w:instrText>
            </w:r>
            <w:r>
              <w:rPr>
                <w:color w:val="000000"/>
                <w:kern w:val="0"/>
                <w:szCs w:val="21"/>
              </w:rPr>
              <w:fldChar w:fldCharType="separate"/>
            </w:r>
            <w:r>
              <w:rPr>
                <w:color w:val="000000"/>
                <w:kern w:val="0"/>
                <w:szCs w:val="21"/>
              </w:rPr>
              <w:t>仅限现金分配</w:t>
            </w:r>
            <w:r>
              <w:rPr>
                <w:color w:val="000000"/>
                <w:kern w:val="0"/>
                <w:szCs w:val="21"/>
              </w:rPr>
              <w:fldChar w:fldCharType="end"/>
            </w:r>
            <w:r>
              <w:rPr>
                <w:color w:val="000000"/>
                <w:kern w:val="0"/>
                <w:szCs w:val="21"/>
              </w:rPr>
              <w:t>。</w:t>
            </w:r>
          </w:p>
          <w:p>
            <w:pPr>
              <w:spacing w:line="360" w:lineRule="auto"/>
              <w:rPr>
                <w:color w:val="000000"/>
                <w:kern w:val="0"/>
                <w:szCs w:val="21"/>
              </w:rPr>
            </w:pPr>
            <w:r>
              <w:rPr>
                <w:color w:val="000000"/>
                <w:kern w:val="0"/>
                <w:szCs w:val="21"/>
              </w:rPr>
              <w:fldChar w:fldCharType="begin">
                <w:ffData>
                  <w:name w:val="Text22"/>
                  <w:enabled/>
                  <w:calcOnExit w:val="0"/>
                  <w:textInput/>
                </w:ffData>
              </w:fldChar>
            </w:r>
            <w:r>
              <w:rPr>
                <w:color w:val="000000"/>
                <w:kern w:val="0"/>
                <w:szCs w:val="21"/>
              </w:rPr>
              <w:instrText xml:space="preserve">FORMTEXT</w:instrText>
            </w:r>
            <w:r>
              <w:rPr>
                <w:color w:val="000000"/>
                <w:kern w:val="0"/>
                <w:szCs w:val="21"/>
              </w:rPr>
              <w:fldChar w:fldCharType="separate"/>
            </w:r>
            <w:r>
              <w:rPr>
                <w:rFonts w:hint="eastAsia"/>
                <w:color w:val="000000"/>
                <w:kern w:val="0"/>
                <w:szCs w:val="21"/>
              </w:rPr>
              <w:t>本理财产品</w:t>
            </w:r>
            <w:r>
              <w:rPr>
                <w:color w:val="000000"/>
                <w:kern w:val="0"/>
                <w:szCs w:val="21"/>
              </w:rPr>
              <w:t>在满足收益分配基准日理财产品收益可分配的前提下，管理人有权进行收益分配。管理人将根据理财产品的运作情况决定收益分配基准日、收益分配对象、当次分配比例或金额、权益登记日、除息日和红利发放日等内容，</w:t>
            </w:r>
            <w:r>
              <w:rPr>
                <w:color w:val="000000"/>
                <w:kern w:val="44"/>
                <w:szCs w:val="21"/>
              </w:rPr>
              <w:t>并将于</w:t>
            </w:r>
            <w:r>
              <w:rPr>
                <w:color w:val="000000"/>
                <w:kern w:val="44"/>
                <w:szCs w:val="21"/>
              </w:rPr>
              <w:fldChar w:fldCharType="begin">
                <w:ffData>
                  <w:name w:val="Text9"/>
                  <w:enabled/>
                  <w:calcOnExit w:val="0"/>
                  <w:textInput/>
                </w:ffData>
              </w:fldChar>
            </w:r>
            <w:r>
              <w:rPr>
                <w:color w:val="000000"/>
                <w:kern w:val="44"/>
                <w:szCs w:val="21"/>
              </w:rPr>
              <w:instrText xml:space="preserve">FORMTEXT</w:instrText>
            </w:r>
            <w:r>
              <w:rPr>
                <w:color w:val="000000"/>
                <w:kern w:val="44"/>
                <w:szCs w:val="21"/>
              </w:rPr>
              <w:fldChar w:fldCharType="separate"/>
            </w:r>
            <w:r>
              <w:rPr>
                <w:color w:val="000000"/>
                <w:kern w:val="44"/>
                <w:szCs w:val="21"/>
              </w:rPr>
              <w:t>除息日前</w:t>
            </w:r>
            <w:r>
              <w:rPr>
                <w:color w:val="000000"/>
                <w:kern w:val="44"/>
                <w:szCs w:val="21"/>
              </w:rPr>
              <w:fldChar w:fldCharType="end"/>
            </w:r>
            <w:r>
              <w:rPr>
                <w:rFonts w:hint="eastAsia"/>
                <w:color w:val="000000"/>
                <w:kern w:val="44"/>
                <w:szCs w:val="21"/>
              </w:rPr>
              <w:t>至少一</w:t>
            </w:r>
            <w:r>
              <w:rPr>
                <w:color w:val="000000"/>
                <w:kern w:val="44"/>
                <w:szCs w:val="21"/>
              </w:rPr>
              <w:t>个工作日通过《投资者权益须知》</w:t>
            </w:r>
            <w:r>
              <w:rPr>
                <w:rFonts w:hint="eastAsia"/>
                <w:color w:val="000000"/>
                <w:kern w:val="44"/>
                <w:szCs w:val="21"/>
              </w:rPr>
              <w:t>“</w:t>
            </w:r>
            <w:r>
              <w:rPr>
                <w:color w:val="000000"/>
                <w:kern w:val="44"/>
                <w:szCs w:val="21"/>
              </w:rPr>
              <w:t>信息披露</w:t>
            </w:r>
            <w:r>
              <w:rPr>
                <w:rFonts w:hint="eastAsia"/>
                <w:color w:val="000000"/>
                <w:kern w:val="44"/>
                <w:szCs w:val="21"/>
              </w:rPr>
              <w:t>”</w:t>
            </w:r>
            <w:r>
              <w:rPr>
                <w:color w:val="000000"/>
                <w:kern w:val="44"/>
                <w:szCs w:val="21"/>
              </w:rPr>
              <w:t>约定的方式，向投资者披露。</w:t>
            </w:r>
            <w:r>
              <w:rPr>
                <w:color w:val="000000"/>
                <w:kern w:val="0"/>
                <w:szCs w:val="21"/>
              </w:rPr>
              <w:fldChar w:fldCharType="end"/>
            </w:r>
          </w:p>
          <w:p>
            <w:pPr>
              <w:spacing w:line="360" w:lineRule="auto"/>
              <w:rPr>
                <w:kern w:val="0"/>
              </w:rPr>
            </w:pPr>
            <w:r>
              <w:rPr>
                <w:b/>
                <w:bCs/>
                <w:color w:val="000000"/>
                <w:kern w:val="0"/>
                <w:szCs w:val="21"/>
              </w:rPr>
              <w:t>产品收益分配规则详见</w:t>
            </w:r>
            <w:r>
              <w:rPr>
                <w:rFonts w:hint="eastAsia"/>
                <w:b/>
                <w:bCs/>
                <w:color w:val="000000"/>
                <w:kern w:val="0"/>
                <w:szCs w:val="21"/>
              </w:rPr>
              <w:t>“</w:t>
            </w:r>
            <w:r>
              <w:rPr>
                <w:rFonts w:hint="eastAsia"/>
                <w:b/>
                <w:bCs/>
                <w:kern w:val="0"/>
                <w:szCs w:val="21"/>
              </w:rPr>
              <w:t>九</w:t>
            </w:r>
            <w:r>
              <w:rPr>
                <w:b/>
                <w:bCs/>
                <w:color w:val="000000"/>
                <w:kern w:val="0"/>
                <w:szCs w:val="21"/>
              </w:rPr>
              <w:t>、理财产品的分配</w:t>
            </w:r>
            <w:r>
              <w:rPr>
                <w:rFonts w:hint="eastAsia"/>
                <w:b/>
                <w:bCs/>
                <w:color w:val="000000"/>
                <w:kern w:val="0"/>
                <w:szCs w:val="21"/>
              </w:rPr>
              <w:t>”</w:t>
            </w:r>
            <w:r>
              <w:rPr>
                <w:b/>
                <w:bCs/>
                <w:color w:val="000000"/>
                <w:kern w:val="0"/>
                <w:szCs w:val="21"/>
              </w:rPr>
              <w:t>。</w:t>
            </w:r>
          </w:p>
        </w:tc>
      </w:tr>
    </w:tbl>
    <w:p>
      <w:pPr>
        <w:autoSpaceDE w:val="0"/>
        <w:autoSpaceDN w:val="0"/>
        <w:adjustRightInd w:val="0"/>
        <w:spacing w:line="360" w:lineRule="auto"/>
        <w:rPr>
          <w:b/>
          <w:bCs/>
          <w:color w:val="000000"/>
          <w:kern w:val="0"/>
        </w:rPr>
      </w:pPr>
    </w:p>
    <w:p>
      <w:pPr>
        <w:autoSpaceDE w:val="0"/>
        <w:autoSpaceDN w:val="0"/>
        <w:adjustRightInd w:val="0"/>
        <w:spacing w:line="360" w:lineRule="auto"/>
        <w:rPr>
          <w:b/>
          <w:bCs/>
          <w:color w:val="000000"/>
          <w:kern w:val="0"/>
        </w:rPr>
      </w:pPr>
      <w:r>
        <w:rPr>
          <w:b/>
          <w:bCs/>
          <w:color w:val="000000"/>
          <w:kern w:val="0"/>
        </w:rPr>
        <w:t>二、理财产品投资管理</w:t>
      </w:r>
    </w:p>
    <w:p>
      <w:pPr>
        <w:autoSpaceDE w:val="0"/>
        <w:autoSpaceDN w:val="0"/>
        <w:adjustRightInd w:val="0"/>
        <w:spacing w:line="360" w:lineRule="auto"/>
        <w:ind w:firstLine="422" w:firstLineChars="200"/>
        <w:rPr>
          <w:b/>
          <w:bCs/>
          <w:color w:val="000000"/>
          <w:kern w:val="0"/>
        </w:rPr>
      </w:pPr>
      <w:r>
        <w:rPr>
          <w:b/>
          <w:bCs/>
          <w:color w:val="000000"/>
          <w:kern w:val="0"/>
        </w:rPr>
        <w:t>（一）投资范围</w:t>
      </w:r>
    </w:p>
    <w:p>
      <w:pPr>
        <w:spacing w:line="360" w:lineRule="auto"/>
        <w:ind w:firstLine="420" w:firstLineChars="200"/>
        <w:rPr>
          <w:szCs w:val="21"/>
          <w:lang w:bidi="ar"/>
        </w:rPr>
      </w:pPr>
      <w:bookmarkStart w:id="24" w:name="Text42"/>
      <w:r>
        <w:rPr>
          <w:color w:val="000000"/>
          <w:lang w:bidi="ar"/>
        </w:rPr>
        <w:fldChar w:fldCharType="begin">
          <w:ffData>
            <w:name w:val="Text42"/>
            <w:enabled/>
            <w:calcOnExit w:val="0"/>
            <w:textInput>
              <w:default w:val="本产品投资于境内、外市场的固定收益类资产、固收类衍生品。其中："/>
            </w:textInput>
          </w:ffData>
        </w:fldChar>
      </w:r>
      <w:r>
        <w:rPr>
          <w:color w:val="000000"/>
          <w:lang w:bidi="ar"/>
        </w:rPr>
        <w:instrText xml:space="preserve">FORMTEXT</w:instrText>
      </w:r>
      <w:r>
        <w:rPr>
          <w:color w:val="000000"/>
          <w:lang w:bidi="ar"/>
        </w:rPr>
        <w:fldChar w:fldCharType="separate"/>
      </w:r>
      <w:r>
        <w:rPr>
          <w:color w:val="000000"/>
          <w:lang w:bidi="ar"/>
        </w:rPr>
        <w:t>本产品投资于境内、外市场的固定收益类资产、固收类衍生品。其中：</w:t>
      </w:r>
      <w:r>
        <w:rPr>
          <w:color w:val="000000"/>
          <w:lang w:bidi="ar"/>
        </w:rPr>
        <w:fldChar w:fldCharType="end"/>
      </w:r>
      <w:bookmarkEnd w:id="24"/>
    </w:p>
    <w:p>
      <w:pPr>
        <w:spacing w:line="360" w:lineRule="auto"/>
        <w:ind w:firstLine="420" w:firstLineChars="200"/>
        <w:rPr>
          <w:rFonts w:hint="eastAsia" w:eastAsia="宋体"/>
          <w:color w:val="000000"/>
          <w:lang w:val="en-US" w:eastAsia="zh-CN" w:bidi="ar"/>
        </w:rPr>
      </w:pPr>
      <w:r>
        <w:rPr>
          <w:color w:val="000000"/>
          <w:lang w:bidi="ar"/>
        </w:rPr>
        <w:t>1.固定收益类资产：银行存款、大额存单、货币市场工具、国债、地方政府债券、中央银行票据、政府机构债券、金融债券、同业存单、公司信用类债券、次级债、二级资本债、可转换债券、可交换债券、在银行间市场和证券交易所市场发行的资产支持证券、应纳入债权类资产的永续债</w:t>
      </w:r>
      <w:r>
        <w:rPr>
          <w:rFonts w:hint="eastAsia"/>
          <w:color w:val="000000"/>
          <w:lang w:bidi="ar"/>
        </w:rPr>
        <w:t>等</w:t>
      </w:r>
      <w:r>
        <w:rPr>
          <w:color w:val="000000"/>
          <w:lang w:bidi="ar"/>
        </w:rPr>
        <w:t>；</w:t>
      </w:r>
      <w:r>
        <w:rPr>
          <w:lang w:bidi="ar"/>
        </w:rPr>
        <w:t>固定收益类</w:t>
      </w:r>
      <w:r>
        <w:rPr>
          <w:color w:val="000000"/>
          <w:lang w:bidi="ar"/>
        </w:rPr>
        <w:t>公募基金；投资于上述资产的资产管理计划和信托计划；以及非标准化债权类资产；</w:t>
      </w:r>
      <w:r>
        <w:rPr>
          <w:rFonts w:hint="eastAsia"/>
          <w:color w:val="000000"/>
          <w:lang w:val="en-US" w:eastAsia="zh-CN" w:bidi="ar"/>
        </w:rPr>
        <w:t xml:space="preserve"> </w:t>
      </w:r>
    </w:p>
    <w:p>
      <w:pPr>
        <w:autoSpaceDE w:val="0"/>
        <w:autoSpaceDN w:val="0"/>
        <w:adjustRightInd w:val="0"/>
        <w:spacing w:line="360" w:lineRule="auto"/>
        <w:ind w:firstLine="420" w:firstLineChars="200"/>
        <w:rPr>
          <w:color w:val="000000"/>
          <w:lang w:bidi="ar"/>
        </w:rPr>
      </w:pPr>
      <w:r>
        <w:rPr>
          <w:rFonts w:hint="eastAsia"/>
          <w:color w:val="000000"/>
          <w:lang w:bidi="ar"/>
        </w:rPr>
        <w:t>2.固收类衍生品：债券借贷、信用风险缓释工具、期货、期权、互换和远期合约。</w:t>
      </w:r>
    </w:p>
    <w:p>
      <w:pPr>
        <w:autoSpaceDE w:val="0"/>
        <w:autoSpaceDN w:val="0"/>
        <w:adjustRightInd w:val="0"/>
        <w:spacing w:line="360" w:lineRule="auto"/>
        <w:ind w:firstLine="420" w:firstLineChars="200"/>
        <w:rPr>
          <w:color w:val="000000"/>
          <w:lang w:bidi="ar"/>
        </w:rPr>
      </w:pPr>
      <w:r>
        <w:rPr>
          <w:color w:val="000000"/>
          <w:lang w:bidi="ar"/>
        </w:rPr>
        <w:t>本理财产品在投资于固收类衍生品资产之前，管理人应获得相应的业务经营范围或投资交易资格</w:t>
      </w:r>
      <w:r>
        <w:rPr>
          <w:rFonts w:hint="eastAsia"/>
          <w:color w:val="000000"/>
          <w:lang w:bidi="ar"/>
        </w:rPr>
        <w:t>。</w:t>
      </w:r>
    </w:p>
    <w:p>
      <w:pPr>
        <w:autoSpaceDE w:val="0"/>
        <w:autoSpaceDN w:val="0"/>
        <w:adjustRightInd w:val="0"/>
        <w:spacing w:line="360" w:lineRule="auto"/>
        <w:ind w:firstLine="420" w:firstLineChars="200"/>
        <w:rPr>
          <w:color w:val="000000"/>
          <w:lang w:bidi="ar"/>
        </w:rPr>
      </w:pPr>
      <w:r>
        <w:rPr>
          <w:color w:val="000000"/>
          <w:lang w:bidi="ar"/>
        </w:rPr>
        <w:t>如法律法规或监管机构允许理财</w:t>
      </w:r>
      <w:r>
        <w:rPr>
          <w:rFonts w:hint="eastAsia"/>
          <w:color w:val="000000"/>
          <w:lang w:bidi="ar"/>
        </w:rPr>
        <w:t>产品</w:t>
      </w:r>
      <w:r>
        <w:rPr>
          <w:color w:val="000000"/>
          <w:lang w:bidi="ar"/>
        </w:rPr>
        <w:t>投资其他品种，经审议批准，在履行适当公告或披露程序后，可以将其纳入投资范围。</w:t>
      </w:r>
    </w:p>
    <w:p>
      <w:pPr>
        <w:autoSpaceDE w:val="0"/>
        <w:autoSpaceDN w:val="0"/>
        <w:adjustRightInd w:val="0"/>
        <w:spacing w:line="360" w:lineRule="auto"/>
        <w:ind w:firstLine="422" w:firstLineChars="200"/>
        <w:rPr>
          <w:b/>
          <w:bCs/>
          <w:color w:val="000000"/>
          <w:kern w:val="0"/>
        </w:rPr>
      </w:pPr>
      <w:r>
        <w:rPr>
          <w:b/>
          <w:bCs/>
          <w:color w:val="000000"/>
          <w:kern w:val="0"/>
        </w:rPr>
        <w:t>（二）投资比例</w:t>
      </w:r>
    </w:p>
    <w:p>
      <w:pPr>
        <w:spacing w:line="360" w:lineRule="auto"/>
        <w:ind w:firstLine="420" w:firstLineChars="200"/>
        <w:rPr>
          <w:szCs w:val="21"/>
          <w:lang w:bidi="ar"/>
        </w:rPr>
      </w:pPr>
      <w:r>
        <w:rPr>
          <w:lang w:bidi="ar"/>
        </w:rPr>
        <w:t>本理财产品各类资产的投资比例为：</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88"/>
        <w:gridCol w:w="44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2588"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60" w:lineRule="auto"/>
              <w:jc w:val="center"/>
              <w:rPr>
                <w:b/>
                <w:bCs/>
                <w:szCs w:val="21"/>
              </w:rPr>
            </w:pPr>
            <w:r>
              <w:rPr>
                <w:b/>
                <w:bCs/>
                <w:szCs w:val="21"/>
              </w:rPr>
              <w:t>资产类别</w:t>
            </w:r>
          </w:p>
        </w:tc>
        <w:tc>
          <w:tcPr>
            <w:tcW w:w="446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60" w:lineRule="auto"/>
              <w:jc w:val="center"/>
              <w:rPr>
                <w:b/>
                <w:bCs/>
                <w:szCs w:val="21"/>
              </w:rPr>
            </w:pPr>
            <w:r>
              <w:rPr>
                <w:b/>
                <w:bCs/>
                <w:szCs w:val="21"/>
              </w:rPr>
              <w:t>投资比例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258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szCs w:val="21"/>
              </w:rPr>
            </w:pPr>
            <w:r>
              <w:rPr>
                <w:szCs w:val="21"/>
              </w:rPr>
              <w:t>固定收益类资产</w:t>
            </w:r>
          </w:p>
        </w:tc>
        <w:tc>
          <w:tcPr>
            <w:tcW w:w="446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kern w:val="0"/>
                <w:szCs w:val="21"/>
              </w:rPr>
            </w:pPr>
            <w:r>
              <w:rPr>
                <w:kern w:val="0"/>
                <w:szCs w:val="21"/>
              </w:rPr>
              <w:fldChar w:fldCharType="begin">
                <w:ffData>
                  <w:name w:val="Text29"/>
                  <w:enabled/>
                  <w:calcOnExit w:val="0"/>
                  <w:textInput>
                    <w:default w:val="≥80%"/>
                  </w:textInput>
                </w:ffData>
              </w:fldChar>
            </w:r>
            <w:r>
              <w:rPr>
                <w:kern w:val="0"/>
                <w:szCs w:val="21"/>
              </w:rPr>
              <w:instrText xml:space="preserve">FORMTEXT</w:instrText>
            </w:r>
            <w:r>
              <w:rPr>
                <w:kern w:val="0"/>
                <w:szCs w:val="21"/>
              </w:rPr>
              <w:fldChar w:fldCharType="separate"/>
            </w:r>
            <w:r>
              <w:rPr>
                <w:rFonts w:hint="eastAsia"/>
                <w:kern w:val="0"/>
                <w:szCs w:val="21"/>
              </w:rPr>
              <w:t>≥</w:t>
            </w:r>
            <w:r>
              <w:rPr>
                <w:kern w:val="0"/>
                <w:szCs w:val="21"/>
              </w:rPr>
              <w:t>80%</w:t>
            </w:r>
            <w:r>
              <w:rPr>
                <w:kern w:val="0"/>
                <w:szCs w:val="21"/>
              </w:rPr>
              <w:fldChar w:fldCharType="end"/>
            </w:r>
          </w:p>
          <w:p>
            <w:pPr>
              <w:spacing w:line="360" w:lineRule="auto"/>
              <w:jc w:val="center"/>
              <w:rPr>
                <w:szCs w:val="21"/>
              </w:rPr>
            </w:pPr>
            <w:r>
              <w:rPr>
                <w:kern w:val="0"/>
                <w:szCs w:val="21"/>
              </w:rPr>
              <w:fldChar w:fldCharType="begin">
                <w:ffData>
                  <w:name w:val="Text29"/>
                  <w:enabled/>
                  <w:calcOnExit w:val="0"/>
                  <w:textInput>
                    <w:default w:val="（其中，非标准化债权类资产＜50%）"/>
                  </w:textInput>
                </w:ffData>
              </w:fldChar>
            </w:r>
            <w:r>
              <w:rPr>
                <w:kern w:val="0"/>
                <w:szCs w:val="21"/>
              </w:rPr>
              <w:instrText xml:space="preserve">FORMTEXT</w:instrText>
            </w:r>
            <w:r>
              <w:rPr>
                <w:kern w:val="0"/>
                <w:szCs w:val="21"/>
              </w:rPr>
              <w:fldChar w:fldCharType="separate"/>
            </w:r>
            <w:r>
              <w:rPr>
                <w:kern w:val="0"/>
                <w:szCs w:val="21"/>
              </w:rPr>
              <w:t>（其中，非标准化债权类资产＜50%）</w:t>
            </w:r>
            <w:r>
              <w:rPr>
                <w:kern w:val="0"/>
                <w:szCs w:val="21"/>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258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szCs w:val="21"/>
              </w:rPr>
            </w:pPr>
            <w:r>
              <w:rPr>
                <w:color w:val="000000"/>
                <w:lang w:bidi="ar"/>
              </w:rPr>
              <w:t>固收类衍生品</w:t>
            </w:r>
          </w:p>
        </w:tc>
        <w:tc>
          <w:tcPr>
            <w:tcW w:w="446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kern w:val="0"/>
                <w:szCs w:val="21"/>
              </w:rPr>
            </w:pPr>
            <w:r>
              <w:rPr>
                <w:kern w:val="0"/>
                <w:szCs w:val="21"/>
              </w:rPr>
              <w:fldChar w:fldCharType="begin">
                <w:ffData>
                  <w:name w:val="Text29"/>
                  <w:enabled/>
                  <w:calcOnExit w:val="0"/>
                  <w:textInput>
                    <w:default w:val="＜5%"/>
                  </w:textInput>
                </w:ffData>
              </w:fldChar>
            </w:r>
            <w:r>
              <w:rPr>
                <w:kern w:val="0"/>
                <w:szCs w:val="21"/>
              </w:rPr>
              <w:instrText xml:space="preserve">FORMTEXT</w:instrText>
            </w:r>
            <w:r>
              <w:rPr>
                <w:kern w:val="0"/>
                <w:szCs w:val="21"/>
              </w:rPr>
              <w:fldChar w:fldCharType="separate"/>
            </w:r>
            <w:r>
              <w:rPr>
                <w:kern w:val="0"/>
                <w:szCs w:val="21"/>
              </w:rPr>
              <w:t>＜5%</w:t>
            </w:r>
            <w:r>
              <w:rPr>
                <w:kern w:val="0"/>
                <w:szCs w:val="21"/>
              </w:rPr>
              <w:fldChar w:fldCharType="end"/>
            </w:r>
          </w:p>
        </w:tc>
      </w:tr>
    </w:tbl>
    <w:p>
      <w:pPr>
        <w:spacing w:line="360" w:lineRule="auto"/>
        <w:ind w:firstLine="422" w:firstLineChars="200"/>
        <w:rPr>
          <w:b/>
          <w:bCs/>
          <w:lang w:bidi="ar"/>
        </w:rPr>
      </w:pPr>
    </w:p>
    <w:p>
      <w:pPr>
        <w:spacing w:line="360" w:lineRule="auto"/>
        <w:ind w:firstLine="422" w:firstLineChars="200"/>
        <w:rPr>
          <w:b/>
          <w:bCs/>
          <w:lang w:bidi="ar"/>
        </w:rPr>
      </w:pPr>
      <w:r>
        <w:rPr>
          <w:b/>
          <w:bCs/>
          <w:lang w:bidi="ar"/>
        </w:rPr>
        <w:t>相关法律法规和监管机构对于以上投资范围和配置比例另行规定的，按照最新规定执行。如法律法规和监管机构对投资比例无其他明确规定和要求的，由管理人和托管人协商确定。</w:t>
      </w:r>
    </w:p>
    <w:p>
      <w:pPr>
        <w:spacing w:line="360" w:lineRule="auto"/>
        <w:ind w:firstLine="420" w:firstLineChars="200"/>
        <w:rPr>
          <w:lang w:bidi="ar"/>
        </w:rPr>
      </w:pPr>
      <w:r>
        <w:rPr>
          <w:rFonts w:hint="eastAsia" w:ascii="Times New Roman" w:hAnsi="Times New Roman"/>
          <w:highlight w:val="none"/>
          <w:lang w:val="en-US" w:eastAsia="zh-CN" w:bidi="ar"/>
        </w:rPr>
        <w:fldChar w:fldCharType="begin">
          <w:ffData>
            <w:name w:val="Text107"/>
            <w:enabled/>
            <w:calcOnExit w:val="0"/>
            <w:textInput>
              <w:default w:val="本理财产品自成立日起不超过六个月为建仓期，管理人应当在建仓期内使理财产品的投资比例符合上述约定；"/>
            </w:textInput>
          </w:ffData>
        </w:fldChar>
      </w:r>
      <w:r>
        <w:rPr>
          <w:rFonts w:hint="eastAsia" w:ascii="Times New Roman" w:hAnsi="Times New Roman"/>
          <w:highlight w:val="none"/>
          <w:lang w:val="en-US" w:eastAsia="zh-CN" w:bidi="ar"/>
        </w:rPr>
        <w:instrText xml:space="preserve">FORMTEXT</w:instrText>
      </w:r>
      <w:r>
        <w:rPr>
          <w:rFonts w:hint="eastAsia" w:ascii="Times New Roman" w:hAnsi="Times New Roman"/>
          <w:highlight w:val="none"/>
          <w:lang w:val="en-US" w:eastAsia="zh-CN" w:bidi="ar"/>
        </w:rPr>
        <w:fldChar w:fldCharType="separate"/>
      </w:r>
      <w:r>
        <w:rPr>
          <w:rFonts w:hint="eastAsia" w:ascii="Times New Roman" w:hAnsi="Times New Roman"/>
          <w:highlight w:val="none"/>
          <w:lang w:val="en-US" w:eastAsia="zh-CN" w:bidi="ar"/>
        </w:rPr>
        <w:t>管理人应当使理财产品的投资比例符合上述约定；</w:t>
      </w:r>
      <w:r>
        <w:rPr>
          <w:rFonts w:hint="eastAsia" w:ascii="Times New Roman" w:hAnsi="Times New Roman"/>
          <w:highlight w:val="none"/>
          <w:lang w:val="en-US" w:eastAsia="zh-CN" w:bidi="ar"/>
        </w:rPr>
        <w:fldChar w:fldCharType="end"/>
      </w:r>
      <w:r>
        <w:rPr>
          <w:lang w:bidi="ar"/>
        </w:rPr>
        <w:t>非因管理人主观因素导致突破前述比例限制的，管理人将在流动性受限资产可出售、可转让或者恢复交易的15个交易日内将理财产品投资比例调整至符合相关要求。</w:t>
      </w:r>
    </w:p>
    <w:p>
      <w:pPr>
        <w:spacing w:line="360" w:lineRule="auto"/>
        <w:ind w:firstLine="422" w:firstLineChars="200"/>
        <w:rPr>
          <w:rFonts w:hint="eastAsia"/>
        </w:rPr>
      </w:pPr>
      <w:r>
        <w:rPr>
          <w:b/>
          <w:bCs/>
          <w:color w:val="000000"/>
          <w:kern w:val="0"/>
        </w:rPr>
        <w:fldChar w:fldCharType="begin">
          <w:ffData>
            <w:name w:val="Text46"/>
            <w:enabled/>
            <w:calcOnExit w:val="0"/>
            <w:textInput/>
          </w:ffData>
        </w:fldChar>
      </w:r>
      <w:r>
        <w:rPr>
          <w:b/>
          <w:bCs/>
          <w:color w:val="000000"/>
          <w:kern w:val="0"/>
        </w:rPr>
        <w:instrText xml:space="preserve">FORMTEXT</w:instrText>
      </w:r>
      <w:r>
        <w:rPr>
          <w:b/>
          <w:bCs/>
          <w:color w:val="000000"/>
          <w:kern w:val="0"/>
        </w:rPr>
        <w:fldChar w:fldCharType="separate"/>
      </w:r>
      <w:r>
        <w:rPr>
          <w:b/>
          <w:bCs/>
          <w:color w:val="000000"/>
          <w:kern w:val="0"/>
        </w:rPr>
        <w:fldChar w:fldCharType="begin">
          <w:ffData>
            <w:name w:val="Text46"/>
            <w:enabled/>
            <w:calcOnExit w:val="0"/>
            <w:textInput/>
          </w:ffData>
        </w:fldChar>
      </w:r>
      <w:r>
        <w:rPr>
          <w:b/>
          <w:bCs/>
          <w:color w:val="000000"/>
          <w:kern w:val="0"/>
        </w:rPr>
        <w:instrText xml:space="preserve">FORMTEXT</w:instrText>
      </w:r>
      <w:r>
        <w:rPr>
          <w:b/>
          <w:bCs/>
          <w:color w:val="000000"/>
          <w:kern w:val="0"/>
        </w:rPr>
        <w:fldChar w:fldCharType="separate"/>
      </w:r>
      <w:r>
        <w:t>如本理财产品投资于非标准化债权类资产，管理人将通过公告的形式对本理财产品投资的每笔非标准化债权类资产的融资客户、项目名称、剩余融资期限、到期收益分配、交易结构、风险状况等进行披露</w:t>
      </w:r>
      <w:r>
        <w:rPr>
          <w:rFonts w:hint="eastAsia"/>
        </w:rPr>
        <w:t>。</w:t>
      </w:r>
    </w:p>
    <w:p>
      <w:pPr>
        <w:spacing w:line="360" w:lineRule="auto"/>
        <w:ind w:firstLine="420" w:firstLineChars="200"/>
        <w:rPr>
          <w:b/>
          <w:bCs/>
          <w:color w:val="000000"/>
          <w:kern w:val="0"/>
        </w:rPr>
      </w:pPr>
      <w:r>
        <w:rPr>
          <w:rFonts w:hint="eastAsia"/>
        </w:rPr>
        <w:t>本理财产品可以按照监管部门相关规定开展回购、逆回购业务。</w:t>
      </w:r>
    </w:p>
    <w:p>
      <w:pPr>
        <w:spacing w:line="360" w:lineRule="auto"/>
        <w:ind w:firstLine="422" w:firstLineChars="200"/>
        <w:rPr>
          <w:b/>
          <w:bCs/>
          <w:color w:val="000000"/>
          <w:kern w:val="0"/>
        </w:rPr>
      </w:pPr>
      <w:r>
        <w:rPr>
          <w:b/>
          <w:bCs/>
          <w:color w:val="000000"/>
          <w:kern w:val="0"/>
        </w:rPr>
        <w:fldChar w:fldCharType="end"/>
      </w:r>
      <w:r>
        <w:rPr>
          <w:b/>
          <w:bCs/>
          <w:color w:val="000000"/>
          <w:kern w:val="0"/>
        </w:rPr>
        <w:fldChar w:fldCharType="end"/>
      </w:r>
      <w:r>
        <w:rPr>
          <w:b/>
          <w:bCs/>
          <w:color w:val="000000"/>
          <w:kern w:val="0"/>
        </w:rPr>
        <w:t>（三）投资限制</w:t>
      </w:r>
    </w:p>
    <w:p>
      <w:pPr>
        <w:spacing w:line="360" w:lineRule="auto"/>
        <w:ind w:firstLine="420" w:firstLineChars="200"/>
        <w:rPr>
          <w:rFonts w:hint="eastAsia"/>
          <w:lang w:bidi="ar"/>
        </w:rPr>
      </w:pPr>
      <w:r>
        <w:rPr>
          <w:lang w:bidi="ar"/>
        </w:rPr>
        <w:t>1.本理财产品持有单只证券或单只公募证券投资基金的市值不超过本理财产品资产净值的10%；非因管理人主观因素导致突破前述比例限制的，管理人应当在流动性受限资产可出售、可转让或者恢复交易的10个交易日内调整至符合要求</w:t>
      </w:r>
      <w:r>
        <w:rPr>
          <w:rFonts w:hint="eastAsia"/>
          <w:lang w:bidi="ar"/>
        </w:rPr>
        <w:t>。</w:t>
      </w:r>
    </w:p>
    <w:p>
      <w:pPr>
        <w:spacing w:line="360" w:lineRule="auto"/>
        <w:ind w:firstLine="420" w:firstLineChars="200"/>
        <w:rPr>
          <w:lang w:bidi="ar"/>
        </w:rPr>
      </w:pPr>
      <w:r>
        <w:rPr>
          <w:rFonts w:hint="eastAsia"/>
          <w:lang w:bidi="ar"/>
        </w:rPr>
        <w:t>2.</w:t>
      </w:r>
      <w:r>
        <w:rPr>
          <w:lang w:bidi="ar"/>
        </w:rPr>
        <w:t>本理财产品资产总值不超过本理财产品资产净值的</w:t>
      </w:r>
      <w:r>
        <w:rPr>
          <w:rFonts w:hint="eastAsia"/>
          <w:lang w:bidi="ar"/>
        </w:rPr>
        <w:t>200</w:t>
      </w:r>
      <w:r>
        <w:rPr>
          <w:lang w:bidi="ar"/>
        </w:rPr>
        <w:t>%</w:t>
      </w:r>
      <w:r>
        <w:rPr>
          <w:rFonts w:hint="eastAsia"/>
          <w:lang w:bidi="ar"/>
        </w:rPr>
        <w:t>，债券正回购资金余额不超过本理财产品资产净值的100%。</w:t>
      </w:r>
    </w:p>
    <w:p>
      <w:pPr>
        <w:spacing w:line="360" w:lineRule="auto"/>
        <w:ind w:firstLine="420" w:firstLineChars="200"/>
        <w:rPr>
          <w:rFonts w:hint="eastAsia"/>
          <w:lang w:bidi="ar"/>
        </w:rPr>
      </w:pPr>
      <w:r>
        <w:rPr>
          <w:rFonts w:hint="eastAsia"/>
          <w:lang w:bidi="ar"/>
        </w:rPr>
        <w:t>3.本理财产品的债券逆回购余额不超过本理财产品资产净值的40%。</w:t>
      </w:r>
    </w:p>
    <w:p>
      <w:pPr>
        <w:spacing w:line="360" w:lineRule="auto"/>
        <w:ind w:firstLine="422" w:firstLineChars="200"/>
        <w:rPr>
          <w:rFonts w:hint="eastAsia"/>
          <w:b/>
          <w:bCs/>
          <w:lang w:bidi="ar"/>
        </w:rPr>
      </w:pPr>
      <w:r>
        <w:rPr>
          <w:rFonts w:hint="eastAsia"/>
          <w:b/>
          <w:bCs/>
          <w:lang w:bidi="ar"/>
        </w:rPr>
        <w:t>4.本理财产品投资不存在活跃市场，并且需要采用估值技术确定公允价值的资产，其投资比例或将超过产品净资产的50%。</w:t>
      </w:r>
    </w:p>
    <w:p>
      <w:pPr>
        <w:spacing w:line="360" w:lineRule="auto"/>
        <w:ind w:firstLine="420" w:firstLineChars="200"/>
        <w:rPr>
          <w:lang w:bidi="ar"/>
        </w:rPr>
      </w:pPr>
      <w:r>
        <w:rPr>
          <w:rFonts w:hint="eastAsia"/>
          <w:lang w:bidi="ar"/>
        </w:rPr>
        <w:t>5.前述内容如相关法律法规、监管机构另有规定的，从其规定。</w:t>
      </w:r>
    </w:p>
    <w:p>
      <w:pPr>
        <w:spacing w:line="360" w:lineRule="auto"/>
        <w:ind w:firstLine="420" w:firstLineChars="200"/>
        <w:rPr>
          <w:lang w:bidi="ar"/>
        </w:rPr>
      </w:pPr>
      <w:r>
        <w:rPr>
          <w:lang w:bidi="ar"/>
        </w:rPr>
        <w:fldChar w:fldCharType="begin">
          <w:ffData>
            <w:name w:val="Text58"/>
            <w:enabled/>
            <w:calcOnExit w:val="0"/>
            <w:textInput>
              <w:default w:val="6.本理财产品投资的资管计划，若投资于记账式国债，仅限以持有到期为目的。资管计划可将其持有的国债通过期货公司质押给期货交易所办理国债充抵期货保证金业务。"/>
            </w:textInput>
          </w:ffData>
        </w:fldChar>
      </w:r>
      <w:bookmarkStart w:id="25" w:name="Text58"/>
      <w:r>
        <w:rPr>
          <w:lang w:bidi="ar"/>
        </w:rPr>
        <w:instrText xml:space="preserve"> FORMTEXT </w:instrText>
      </w:r>
      <w:r>
        <w:rPr>
          <w:lang w:bidi="ar"/>
        </w:rPr>
        <w:fldChar w:fldCharType="separate"/>
      </w:r>
      <w:r>
        <w:rPr>
          <w:rFonts w:hint="eastAsia"/>
          <w:lang w:bidi="ar"/>
        </w:rPr>
        <w:t>6.本理财产品投资的资管计划，若投资于记账式国债，仅限以持有到期为目的。资管计划可将其持有的国债通过期货公司质押给期货交易所办理国债充抵期货保证金业务。</w:t>
      </w:r>
      <w:r>
        <w:rPr>
          <w:lang w:bidi="ar"/>
        </w:rPr>
        <w:fldChar w:fldCharType="end"/>
      </w:r>
      <w:bookmarkEnd w:id="25"/>
    </w:p>
    <w:p>
      <w:pPr>
        <w:spacing w:line="360" w:lineRule="auto"/>
        <w:ind w:firstLine="420" w:firstLineChars="200"/>
        <w:rPr>
          <w:rFonts w:hint="eastAsia"/>
          <w:lang w:bidi="ar"/>
        </w:rPr>
      </w:pPr>
    </w:p>
    <w:p>
      <w:pPr>
        <w:autoSpaceDE w:val="0"/>
        <w:autoSpaceDN w:val="0"/>
        <w:adjustRightInd w:val="0"/>
        <w:spacing w:line="360" w:lineRule="auto"/>
        <w:ind w:firstLine="422" w:firstLineChars="200"/>
        <w:rPr>
          <w:lang w:bidi="ar"/>
        </w:rPr>
      </w:pPr>
      <w:r>
        <w:rPr>
          <w:b/>
          <w:bCs/>
          <w:color w:val="000000"/>
          <w:kern w:val="0"/>
        </w:rPr>
        <w:t>（四）投资策略</w:t>
      </w:r>
    </w:p>
    <w:p>
      <w:pPr>
        <w:spacing w:line="360" w:lineRule="auto"/>
        <w:ind w:firstLine="420" w:firstLineChars="200"/>
        <w:rPr>
          <w:lang w:bidi="ar"/>
        </w:rPr>
      </w:pPr>
      <w:r>
        <w:rPr>
          <w:lang w:bidi="ar"/>
        </w:rPr>
        <w:fldChar w:fldCharType="begin">
          <w:ffData>
            <w:name w:val="Text57"/>
            <w:enabled/>
            <w:calcOnExit w:val="0"/>
            <w:textInput>
              <w:default w:val="本理财产品通过定量和定性相结合的方法，综合考虑国家政策、宏观经济走势以及市场变动情况，确定相关资产配置。以控制短期波动和回撤风险为目标，在保持资产流动性的前提下，尽力为投资者实现中长期投资回报。投资策略主要包括："/>
            </w:textInput>
          </w:ffData>
        </w:fldChar>
      </w:r>
      <w:r>
        <w:rPr>
          <w:lang w:bidi="ar"/>
        </w:rPr>
        <w:instrText xml:space="preserve">FORMTEXT</w:instrText>
      </w:r>
      <w:r>
        <w:rPr>
          <w:lang w:bidi="ar"/>
        </w:rPr>
        <w:fldChar w:fldCharType="separate"/>
      </w:r>
      <w:r>
        <w:rPr>
          <w:lang w:bidi="ar"/>
        </w:rPr>
        <w:t>本理财产品通过定量和定性相结合的方法，综合考虑国家政策、宏观经济走势以及市场变动情况，确定相关资产配置。以控制短期波动和回撤风险为目标，在保持资产流动性的前提下，尽力为投资者实现中长期投资回报。投资策略主要包括：</w:t>
      </w:r>
      <w:r>
        <w:rPr>
          <w:lang w:bidi="ar"/>
        </w:rPr>
        <w:fldChar w:fldCharType="end"/>
      </w:r>
    </w:p>
    <w:p>
      <w:pPr>
        <w:spacing w:line="360" w:lineRule="auto"/>
        <w:ind w:firstLine="420" w:firstLineChars="200"/>
        <w:rPr>
          <w:lang w:bidi="ar"/>
        </w:rPr>
      </w:pPr>
      <w:r>
        <w:rPr>
          <w:lang w:bidi="ar"/>
        </w:rPr>
        <w:fldChar w:fldCharType="begin">
          <w:ffData>
            <w:name w:val="Text58"/>
            <w:enabled/>
            <w:calcOnExit w:val="0"/>
            <w:textInput>
              <w:default w:val="1.资产配置策略"/>
            </w:textInput>
          </w:ffData>
        </w:fldChar>
      </w:r>
      <w:r>
        <w:rPr>
          <w:lang w:bidi="ar"/>
        </w:rPr>
        <w:instrText xml:space="preserve">FORMTEXT</w:instrText>
      </w:r>
      <w:r>
        <w:rPr>
          <w:lang w:bidi="ar"/>
        </w:rPr>
        <w:fldChar w:fldCharType="separate"/>
      </w:r>
      <w:r>
        <w:rPr>
          <w:lang w:bidi="ar"/>
        </w:rPr>
        <w:t>1.资产配置策略</w:t>
      </w:r>
      <w:r>
        <w:rPr>
          <w:lang w:bidi="ar"/>
        </w:rPr>
        <w:fldChar w:fldCharType="end"/>
      </w:r>
    </w:p>
    <w:p>
      <w:pPr>
        <w:spacing w:line="360" w:lineRule="auto"/>
        <w:ind w:firstLine="420" w:firstLineChars="200"/>
        <w:rPr>
          <w:lang w:bidi="ar"/>
        </w:rPr>
      </w:pPr>
      <w:r>
        <w:rPr>
          <w:lang w:bidi="ar"/>
        </w:rPr>
        <w:fldChar w:fldCharType="begin">
          <w:ffData>
            <w:name w:val="Text53"/>
            <w:enabled/>
            <w:calcOnExit w:val="0"/>
            <w:textInput>
              <w:default w:val="以预先设定的组合波动、回撤等限额目标，根据不同资产的风险收益特征进行大类资产配置，控制因市场环境发生变化而产生的下行风险。根据宏观经济形势的变化，力图实现在不同环境下的多元资产的优化配置目标。"/>
            </w:textInput>
          </w:ffData>
        </w:fldChar>
      </w:r>
      <w:r>
        <w:rPr>
          <w:lang w:bidi="ar"/>
        </w:rPr>
        <w:instrText xml:space="preserve">FORMTEXT</w:instrText>
      </w:r>
      <w:r>
        <w:rPr>
          <w:lang w:bidi="ar"/>
        </w:rPr>
        <w:fldChar w:fldCharType="separate"/>
      </w:r>
      <w:r>
        <w:rPr>
          <w:lang w:bidi="ar"/>
        </w:rPr>
        <w:t>以预先设定的组合波动、回撤等限额目标，根据不同资产的风险收益特征进行大类资产配置，控制因市场环境发生变化而产生的下行风险。根据宏观经济形势的变化，力图实现在不同环境下的多元资产的优化配置目标。</w:t>
      </w:r>
      <w:r>
        <w:rPr>
          <w:lang w:bidi="ar"/>
        </w:rPr>
        <w:fldChar w:fldCharType="end"/>
      </w:r>
    </w:p>
    <w:p>
      <w:pPr>
        <w:spacing w:line="360" w:lineRule="auto"/>
        <w:ind w:firstLine="420" w:firstLineChars="200"/>
        <w:rPr>
          <w:lang w:bidi="ar"/>
        </w:rPr>
      </w:pPr>
      <w:r>
        <w:rPr>
          <w:lang w:bidi="ar"/>
        </w:rPr>
        <w:fldChar w:fldCharType="begin">
          <w:ffData>
            <w:name w:val="Text59"/>
            <w:enabled/>
            <w:calcOnExit w:val="0"/>
            <w:textInput>
              <w:default w:val="2.固定收益类资产投资策略"/>
            </w:textInput>
          </w:ffData>
        </w:fldChar>
      </w:r>
      <w:r>
        <w:rPr>
          <w:lang w:bidi="ar"/>
        </w:rPr>
        <w:instrText xml:space="preserve">FORMTEXT</w:instrText>
      </w:r>
      <w:r>
        <w:rPr>
          <w:lang w:bidi="ar"/>
        </w:rPr>
        <w:fldChar w:fldCharType="separate"/>
      </w:r>
      <w:r>
        <w:rPr>
          <w:lang w:bidi="ar"/>
        </w:rPr>
        <w:t>2.固定收益类资产投资策略</w:t>
      </w:r>
      <w:r>
        <w:rPr>
          <w:lang w:bidi="ar"/>
        </w:rPr>
        <w:fldChar w:fldCharType="end"/>
      </w:r>
    </w:p>
    <w:p>
      <w:pPr>
        <w:spacing w:line="360" w:lineRule="auto"/>
        <w:rPr>
          <w:lang w:bidi="ar"/>
        </w:rPr>
      </w:pPr>
      <w:r>
        <w:rPr>
          <w:lang w:bidi="ar"/>
        </w:rPr>
        <w:t xml:space="preserve">    </w:t>
      </w:r>
      <w:r>
        <w:rPr>
          <w:lang w:bidi="ar"/>
        </w:rPr>
        <w:fldChar w:fldCharType="begin">
          <w:ffData>
            <w:name w:val="Text54"/>
            <w:enabled/>
            <w:calcOnExit w:val="0"/>
            <w:textInput>
              <w:default w:val="债券投资通过采取信用策略、类属配置策略、收益率曲线策略、收益率利差策略、久期策略等，尽力提升组合收益。同时基于组合整体风险收益目标，适度进行杠杆投资操作。现金类资产的配置目标主要保持组合流动性，以应对可能的投资者赎回需求。同时，本理财产品在监管允许和合同约定的前提下，精选非标准化债权类资产进行配置。"/>
            </w:textInput>
          </w:ffData>
        </w:fldChar>
      </w:r>
      <w:r>
        <w:rPr>
          <w:lang w:bidi="ar"/>
        </w:rPr>
        <w:instrText xml:space="preserve">FORMTEXT</w:instrText>
      </w:r>
      <w:r>
        <w:rPr>
          <w:lang w:bidi="ar"/>
        </w:rPr>
        <w:fldChar w:fldCharType="separate"/>
      </w:r>
      <w:r>
        <w:rPr>
          <w:lang w:bidi="ar"/>
        </w:rPr>
        <w:t>债券投资通过采取信用策略、类属配置策略、收益率曲线策略、收益率利差策略、久期策略等，尽力提升组合收益。同时基于组合整体风险收益目标，适度进行杠杆投资操作。现金类资产的配置目标主要保持组合流动性，以应对可能的投资者赎回需求。</w:t>
      </w:r>
      <w:r>
        <w:rPr>
          <w:lang w:bidi="ar"/>
        </w:rPr>
        <w:fldChar w:fldCharType="end"/>
      </w:r>
    </w:p>
    <w:p>
      <w:pPr>
        <w:spacing w:line="360" w:lineRule="auto"/>
        <w:ind w:firstLine="420"/>
        <w:rPr>
          <w:lang w:bidi="ar"/>
        </w:rPr>
      </w:pPr>
      <w:r>
        <w:rPr>
          <w:lang w:bidi="ar"/>
        </w:rPr>
        <w:fldChar w:fldCharType="begin">
          <w:ffData>
            <w:name w:val="Text62"/>
            <w:enabled/>
            <w:calcOnExit w:val="0"/>
            <w:textInput>
              <w:default w:val="4.商品及金融衍生品类资产投资策略"/>
            </w:textInput>
          </w:ffData>
        </w:fldChar>
      </w:r>
      <w:r>
        <w:rPr>
          <w:lang w:bidi="ar"/>
        </w:rPr>
        <w:instrText xml:space="preserve">FORMTEXT</w:instrText>
      </w:r>
      <w:r>
        <w:rPr>
          <w:lang w:bidi="ar"/>
        </w:rPr>
        <w:fldChar w:fldCharType="separate"/>
      </w:r>
      <w:r>
        <w:rPr>
          <w:rFonts w:hint="eastAsia"/>
          <w:lang w:bidi="ar"/>
        </w:rPr>
        <w:t>3.固收类衍生品</w:t>
      </w:r>
      <w:r>
        <w:rPr>
          <w:lang w:bidi="ar"/>
        </w:rPr>
        <w:t>投资策略</w:t>
      </w:r>
      <w:r>
        <w:rPr>
          <w:lang w:bidi="ar"/>
        </w:rPr>
        <w:fldChar w:fldCharType="end"/>
      </w:r>
    </w:p>
    <w:p>
      <w:pPr>
        <w:spacing w:line="360" w:lineRule="auto"/>
        <w:ind w:firstLine="420" w:firstLineChars="200"/>
        <w:rPr>
          <w:lang w:bidi="ar"/>
        </w:rPr>
      </w:pPr>
      <w:r>
        <w:rPr>
          <w:lang w:bidi="ar"/>
        </w:rPr>
        <w:fldChar w:fldCharType="begin">
          <w:ffData>
            <w:name w:val="Text56"/>
            <w:enabled/>
            <w:calcOnExit w:val="0"/>
            <w:textInput>
              <w:default w:val="商品及金融衍生品类投资是在严格控制风险和回撤的前提下，主动通过各类商品及金融衍生品组合策略把握各类资产的配置和交易机会，尽力提升组合收益；或基于风险管理目的，使用商品及金融衍生品作为对冲市场风险和信用风险等各类风险的工具。衍生类资产投资对衍生品名义本金进行净敞口控制。"/>
            </w:textInput>
          </w:ffData>
        </w:fldChar>
      </w:r>
      <w:r>
        <w:rPr>
          <w:lang w:bidi="ar"/>
        </w:rPr>
        <w:instrText xml:space="preserve">FORMTEXT</w:instrText>
      </w:r>
      <w:r>
        <w:rPr>
          <w:lang w:bidi="ar"/>
        </w:rPr>
        <w:fldChar w:fldCharType="separate"/>
      </w:r>
      <w:r>
        <w:rPr>
          <w:rFonts w:hint="eastAsia"/>
          <w:lang w:bidi="ar"/>
        </w:rPr>
        <w:t>固收类衍生品</w:t>
      </w:r>
      <w:r>
        <w:rPr>
          <w:lang w:bidi="ar"/>
        </w:rPr>
        <w:t>投资是在严格控制风险和回撤的前提下，主动通过各类</w:t>
      </w:r>
      <w:r>
        <w:rPr>
          <w:rFonts w:hint="eastAsia"/>
          <w:lang w:bidi="ar"/>
        </w:rPr>
        <w:t>固收类衍生品</w:t>
      </w:r>
      <w:r>
        <w:rPr>
          <w:lang w:bidi="ar"/>
        </w:rPr>
        <w:t>组合策略把握各类资产的配置和交易机会，尽力提升组合收益；或基于风险管理目的，使用</w:t>
      </w:r>
      <w:r>
        <w:rPr>
          <w:rFonts w:hint="eastAsia"/>
          <w:lang w:bidi="ar"/>
        </w:rPr>
        <w:t>固收类衍生品</w:t>
      </w:r>
      <w:r>
        <w:rPr>
          <w:lang w:bidi="ar"/>
        </w:rPr>
        <w:t>作为对冲市场风险和信用风险等各类风险的工具。衍生类资产投资对衍生品名义本金进行净敞口控制。</w:t>
      </w:r>
      <w:r>
        <w:rPr>
          <w:lang w:bidi="ar"/>
        </w:rPr>
        <w:fldChar w:fldCharType="end"/>
      </w:r>
    </w:p>
    <w:p>
      <w:pPr>
        <w:spacing w:line="360" w:lineRule="auto"/>
        <w:ind w:firstLine="422" w:firstLineChars="200"/>
        <w:rPr>
          <w:b/>
          <w:bCs/>
          <w:lang w:bidi="ar"/>
        </w:rPr>
      </w:pPr>
      <w:r>
        <w:rPr>
          <w:b/>
          <w:bCs/>
          <w:lang w:bidi="ar"/>
        </w:rPr>
        <w:t>（五）拟投资市场和资产的风险评估</w:t>
      </w:r>
    </w:p>
    <w:p>
      <w:pPr>
        <w:spacing w:line="360" w:lineRule="auto"/>
        <w:ind w:firstLine="420" w:firstLineChars="200"/>
        <w:rPr>
          <w:lang w:bidi="ar"/>
        </w:rPr>
      </w:pPr>
      <w:r>
        <w:rPr>
          <w:lang w:bidi="ar"/>
        </w:rPr>
        <w:t>本理财产品拟投资市场和资产可能面临的风险</w:t>
      </w:r>
      <w:r>
        <w:rPr>
          <w:rFonts w:hint="eastAsia"/>
          <w:lang w:bidi="ar"/>
        </w:rPr>
        <w:t>包括但不限于以下方面</w:t>
      </w:r>
      <w:r>
        <w:rPr>
          <w:lang w:bidi="ar"/>
        </w:rPr>
        <w:t xml:space="preserve">： </w:t>
      </w:r>
    </w:p>
    <w:p>
      <w:pPr>
        <w:spacing w:line="360" w:lineRule="auto"/>
        <w:ind w:firstLine="422" w:firstLineChars="200"/>
        <w:rPr>
          <w:b/>
          <w:bCs/>
          <w:lang w:bidi="ar"/>
        </w:rPr>
      </w:pPr>
      <w:r>
        <w:rPr>
          <w:b/>
          <w:bCs/>
          <w:lang w:bidi="ar"/>
        </w:rPr>
        <w:fldChar w:fldCharType="begin">
          <w:ffData>
            <w:name w:val="Text61"/>
            <w:enabled/>
            <w:calcOnExit w:val="0"/>
            <w:textInput>
              <w:default w:val="1.投资于固定收益类资产可能面临的信用风险、市场风险和流动性风险"/>
            </w:textInput>
          </w:ffData>
        </w:fldChar>
      </w:r>
      <w:r>
        <w:rPr>
          <w:b/>
          <w:bCs/>
          <w:lang w:bidi="ar"/>
        </w:rPr>
        <w:instrText xml:space="preserve">FORMTEXT</w:instrText>
      </w:r>
      <w:r>
        <w:rPr>
          <w:b/>
          <w:bCs/>
          <w:lang w:bidi="ar"/>
        </w:rPr>
        <w:fldChar w:fldCharType="separate"/>
      </w:r>
      <w:r>
        <w:rPr>
          <w:b/>
          <w:bCs/>
          <w:lang w:bidi="ar"/>
        </w:rPr>
        <w:t>1.投资于固定收益类资产可能面临的信用风险、市场风险和流动性风险</w:t>
      </w:r>
      <w:r>
        <w:rPr>
          <w:b/>
          <w:bCs/>
          <w:lang w:bidi="ar"/>
        </w:rPr>
        <w:fldChar w:fldCharType="end"/>
      </w:r>
    </w:p>
    <w:p>
      <w:pPr>
        <w:spacing w:line="360" w:lineRule="auto"/>
        <w:ind w:firstLine="422" w:firstLineChars="200"/>
        <w:rPr>
          <w:b/>
          <w:bCs/>
          <w:lang w:bidi="ar"/>
        </w:rPr>
      </w:pPr>
      <w:r>
        <w:rPr>
          <w:b/>
          <w:bCs/>
          <w:lang w:bidi="ar"/>
        </w:rPr>
        <w:fldChar w:fldCharType="begin">
          <w:ffData>
            <w:name w:val="Text63"/>
            <w:enabled/>
            <w:calcOnExit w:val="0"/>
            <w:textInput>
              <w:default w:val="债务人经营不佳、财务状况恶化、还款能力下降或基础资产现金流枯竭，可能导致固定收益类资产出现信用风险；宏观政策、经济周期、利率、汇率等外部因素发生的变化，可能导致固定收益类资产出现市场风险；交易对手不足、交易市场不活跃，或者由于部分品种的流通和转让限制使得资产变现能力差，最终可能会导致固定收益类资产出现流动性风险。"/>
            </w:textInput>
          </w:ffData>
        </w:fldChar>
      </w:r>
      <w:r>
        <w:rPr>
          <w:b/>
          <w:bCs/>
          <w:lang w:bidi="ar"/>
        </w:rPr>
        <w:instrText xml:space="preserve">FORMTEXT</w:instrText>
      </w:r>
      <w:r>
        <w:rPr>
          <w:b/>
          <w:bCs/>
          <w:lang w:bidi="ar"/>
        </w:rPr>
        <w:fldChar w:fldCharType="separate"/>
      </w:r>
      <w:r>
        <w:rPr>
          <w:b/>
          <w:bCs/>
          <w:lang w:bidi="ar"/>
        </w:rPr>
        <w:t>债务人经营不佳、财务状况恶化、还款能力下降或基础资产现金流枯竭，可能导致固定收益类资产出现信用风险；宏观政策、经济周期、利率、汇率等外部因素发生的变化，可能导致固定收益类资产出现市场风险；交易对手不足、交易市场不活跃，或者由于部分品种的流通和转让限制使得资产变现能力差，最终可能会导致固定收益类资产出现流动性风险。</w:t>
      </w:r>
      <w:r>
        <w:rPr>
          <w:b/>
          <w:bCs/>
          <w:lang w:bidi="ar"/>
        </w:rPr>
        <w:fldChar w:fldCharType="end"/>
      </w:r>
    </w:p>
    <w:p>
      <w:pPr>
        <w:spacing w:line="360" w:lineRule="auto"/>
        <w:ind w:firstLine="422" w:firstLineChars="200"/>
        <w:rPr>
          <w:b/>
          <w:bCs/>
          <w:lang w:bidi="ar"/>
        </w:rPr>
      </w:pPr>
      <w:r>
        <w:rPr>
          <w:b/>
          <w:bCs/>
          <w:lang w:bidi="ar"/>
        </w:rPr>
        <w:fldChar w:fldCharType="begin">
          <w:ffData>
            <w:name w:val="Text66"/>
            <w:enabled/>
            <w:calcOnExit w:val="0"/>
            <w:textInput>
              <w:default w:val="3.投资于商品及金融衍生品类资产可能面临的特定投资风险和流动性风险"/>
            </w:textInput>
          </w:ffData>
        </w:fldChar>
      </w:r>
      <w:r>
        <w:rPr>
          <w:b/>
          <w:bCs/>
          <w:lang w:bidi="ar"/>
        </w:rPr>
        <w:instrText xml:space="preserve">FORMTEXT</w:instrText>
      </w:r>
      <w:r>
        <w:rPr>
          <w:b/>
          <w:bCs/>
          <w:lang w:bidi="ar"/>
        </w:rPr>
        <w:fldChar w:fldCharType="separate"/>
      </w:r>
      <w:r>
        <w:rPr>
          <w:rFonts w:hint="eastAsia"/>
          <w:b/>
          <w:bCs/>
          <w:lang w:bidi="ar"/>
        </w:rPr>
        <w:t>2</w:t>
      </w:r>
      <w:r>
        <w:rPr>
          <w:b/>
          <w:bCs/>
          <w:lang w:bidi="ar"/>
        </w:rPr>
        <w:t>.投资于</w:t>
      </w:r>
      <w:r>
        <w:rPr>
          <w:rFonts w:hint="eastAsia"/>
          <w:b/>
          <w:bCs/>
          <w:lang w:bidi="ar"/>
        </w:rPr>
        <w:t>固收类衍生品</w:t>
      </w:r>
      <w:r>
        <w:rPr>
          <w:b/>
          <w:bCs/>
          <w:lang w:bidi="ar"/>
        </w:rPr>
        <w:t>可能面临的特定投资风险和流动性风险</w:t>
      </w:r>
      <w:r>
        <w:rPr>
          <w:b/>
          <w:bCs/>
          <w:lang w:bidi="ar"/>
        </w:rPr>
        <w:fldChar w:fldCharType="end"/>
      </w:r>
    </w:p>
    <w:p>
      <w:pPr>
        <w:spacing w:line="360" w:lineRule="auto"/>
        <w:ind w:firstLine="422" w:firstLineChars="200"/>
        <w:rPr>
          <w:b/>
          <w:bCs/>
          <w:lang w:bidi="ar"/>
        </w:rPr>
      </w:pPr>
      <w:r>
        <w:rPr>
          <w:b/>
          <w:bCs/>
          <w:lang w:bidi="ar"/>
        </w:rPr>
        <w:fldChar w:fldCharType="begin">
          <w:ffData>
            <w:name w:val="Text67"/>
            <w:enabled/>
            <w:calcOnExit w:val="0"/>
            <w:textInput>
              <w:default w:val="投资于商品及金融衍生品等其他类资产，可能会出现基差风险、不完全对冲风险、交割日风险、盯市结算风险、强行平仓风险、合约展期风险等商品及金融衍生品投资特定风险。也可能面临由于市场外部环境变化而产生的市场风险以及由于流通量、资金量不足造成的流动性风险。"/>
            </w:textInput>
          </w:ffData>
        </w:fldChar>
      </w:r>
      <w:r>
        <w:rPr>
          <w:b/>
          <w:bCs/>
          <w:lang w:bidi="ar"/>
        </w:rPr>
        <w:instrText xml:space="preserve">FORMTEXT</w:instrText>
      </w:r>
      <w:r>
        <w:rPr>
          <w:b/>
          <w:bCs/>
          <w:lang w:bidi="ar"/>
        </w:rPr>
        <w:fldChar w:fldCharType="separate"/>
      </w:r>
      <w:r>
        <w:rPr>
          <w:b/>
          <w:bCs/>
          <w:lang w:bidi="ar"/>
        </w:rPr>
        <w:t>投资于</w:t>
      </w:r>
      <w:r>
        <w:rPr>
          <w:rFonts w:hint="eastAsia"/>
          <w:b/>
          <w:bCs/>
          <w:lang w:bidi="ar"/>
        </w:rPr>
        <w:t>固收类衍生品</w:t>
      </w:r>
      <w:r>
        <w:rPr>
          <w:b/>
          <w:bCs/>
          <w:lang w:bidi="ar"/>
        </w:rPr>
        <w:t>等资产，可能会出现基差风险、不完全对冲风险、交割日风险、盯市结算风险、强行平仓风险、合约展期风险等</w:t>
      </w:r>
      <w:r>
        <w:rPr>
          <w:rFonts w:hint="eastAsia"/>
          <w:b/>
          <w:bCs/>
          <w:lang w:bidi="ar"/>
        </w:rPr>
        <w:t>固收类衍生品</w:t>
      </w:r>
      <w:r>
        <w:rPr>
          <w:b/>
          <w:bCs/>
          <w:lang w:bidi="ar"/>
        </w:rPr>
        <w:t>特定</w:t>
      </w:r>
      <w:r>
        <w:rPr>
          <w:rFonts w:hint="eastAsia"/>
          <w:b/>
          <w:bCs/>
          <w:lang w:bidi="ar"/>
        </w:rPr>
        <w:t>投资</w:t>
      </w:r>
      <w:r>
        <w:rPr>
          <w:b/>
          <w:bCs/>
          <w:lang w:bidi="ar"/>
        </w:rPr>
        <w:t>风险</w:t>
      </w:r>
      <w:r>
        <w:rPr>
          <w:rFonts w:hint="eastAsia"/>
          <w:b/>
          <w:bCs/>
          <w:lang w:bidi="ar"/>
        </w:rPr>
        <w:t>；</w:t>
      </w:r>
      <w:r>
        <w:rPr>
          <w:b/>
          <w:bCs/>
          <w:lang w:bidi="ar"/>
        </w:rPr>
        <w:t>也可能面临由于市场外部环境变化而产生的市场风险以及由于流通量、资金量不足造成的流动性风险。</w:t>
      </w:r>
      <w:r>
        <w:rPr>
          <w:b/>
          <w:bCs/>
          <w:lang w:bidi="ar"/>
        </w:rPr>
        <w:fldChar w:fldCharType="end"/>
      </w:r>
      <w:r>
        <w:rPr>
          <w:b/>
          <w:bCs/>
          <w:lang w:bidi="ar"/>
        </w:rPr>
        <w:t>（六）投资合作机构</w:t>
      </w:r>
    </w:p>
    <w:p>
      <w:pPr>
        <w:spacing w:line="360" w:lineRule="auto"/>
        <w:ind w:firstLine="420" w:firstLineChars="200"/>
        <w:rPr>
          <w:lang w:bidi="ar"/>
        </w:rPr>
      </w:pPr>
      <w:r>
        <w:rPr>
          <w:lang w:bidi="ar"/>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p>
    <w:p>
      <w:pPr>
        <w:spacing w:line="360" w:lineRule="auto"/>
        <w:ind w:firstLine="422" w:firstLineChars="200"/>
        <w:rPr>
          <w:b/>
          <w:bCs/>
          <w:lang w:bidi="ar"/>
        </w:rPr>
      </w:pPr>
      <w:r>
        <w:rPr>
          <w:b/>
          <w:bCs/>
          <w:lang w:bidi="ar"/>
        </w:rPr>
        <w:fldChar w:fldCharType="begin">
          <w:ffData>
            <w:name w:val="Text45"/>
            <w:enabled/>
            <w:calcOnExit w:val="0"/>
            <w:textInput>
              <w:default w:val="投资合作机构的基本信息："/>
            </w:textInput>
          </w:ffData>
        </w:fldChar>
      </w:r>
      <w:r>
        <w:rPr>
          <w:b/>
          <w:bCs/>
          <w:lang w:bidi="ar"/>
        </w:rPr>
        <w:instrText xml:space="preserve">FORMTEXT</w:instrText>
      </w:r>
      <w:r>
        <w:rPr>
          <w:b/>
          <w:bCs/>
          <w:lang w:bidi="ar"/>
        </w:rPr>
        <w:fldChar w:fldCharType="separate"/>
      </w:r>
      <w:r>
        <w:rPr>
          <w:b/>
          <w:bCs/>
          <w:lang w:bidi="ar"/>
        </w:rPr>
        <w:t>投资合作机构的基本信息：</w:t>
      </w:r>
      <w:r>
        <w:rPr>
          <w:b/>
          <w:bCs/>
          <w:lang w:bidi="ar"/>
        </w:rPr>
        <w:fldChar w:fldCharType="end"/>
      </w:r>
    </w:p>
    <w:p>
      <w:pPr>
        <w:spacing w:line="360" w:lineRule="auto"/>
        <w:ind w:firstLine="422" w:firstLineChars="200"/>
        <w:rPr>
          <w:b/>
          <w:bCs/>
          <w:lang w:bidi="ar"/>
        </w:rPr>
      </w:pPr>
      <w:r>
        <w:rPr>
          <w:b/>
          <w:bCs/>
          <w:lang w:bidi="ar"/>
        </w:rPr>
        <w:fldChar w:fldCharType="begin">
          <w:ffData>
            <w:name w:val="复制(&amp;C)"/>
            <w:enabled/>
            <w:calcOnExit w:val="0"/>
            <w:textInput/>
          </w:ffData>
        </w:fldChar>
      </w:r>
      <w:r>
        <w:rPr>
          <w:b/>
          <w:bCs/>
          <w:lang w:bidi="ar"/>
        </w:rPr>
        <w:instrText xml:space="preserve">FORMTEXT</w:instrText>
      </w:r>
      <w:r>
        <w:rPr>
          <w:b/>
          <w:bCs/>
          <w:lang w:bidi="ar"/>
        </w:rPr>
        <w:fldChar w:fldCharType="separate"/>
      </w:r>
      <w:r>
        <w:rPr>
          <w:b/>
          <w:bCs/>
          <w:lang w:bidi="ar"/>
        </w:rPr>
        <w:fldChar w:fldCharType="begin">
          <w:ffData>
            <w:name w:val="复制(&amp;C)"/>
            <w:enabled/>
            <w:calcOnExit w:val="0"/>
            <w:textInput/>
          </w:ffData>
        </w:fldChar>
      </w:r>
      <w:r>
        <w:rPr>
          <w:b/>
          <w:bCs/>
          <w:lang w:bidi="ar"/>
        </w:rPr>
        <w:instrText xml:space="preserve">FORMTEXT</w:instrText>
      </w:r>
      <w:r>
        <w:rPr>
          <w:b/>
          <w:bCs/>
          <w:lang w:bidi="ar"/>
        </w:rPr>
        <w:fldChar w:fldCharType="separate"/>
      </w:r>
      <w:r>
        <w:rPr>
          <w:b/>
          <w:bCs/>
          <w:lang w:bidi="ar"/>
        </w:rPr>
        <w:t>投资合作机构包括但不限于本理财产品所投资资产管理产品的发行机构、根据合同约定从事理财产品受托投资的机构以及与理财产品投资管理相关的投资顾问等。投资合作机构应是具有专业资质并受金融监督管理部门依法监管的金融机构或国务院银行业监督管理机构认可的其他机构。包括但不限于信托公司、证券公司及其资管子公司、基金公司及其基金子公司、保险公司及其资管子公司等。</w:t>
      </w:r>
      <w:r>
        <w:rPr>
          <w:b/>
          <w:bCs/>
          <w:lang w:bidi="ar"/>
        </w:rPr>
        <w:fldChar w:fldCharType="end"/>
      </w:r>
      <w:r>
        <w:rPr>
          <w:b/>
          <w:bCs/>
          <w:lang w:bidi="ar"/>
        </w:rPr>
        <w:fldChar w:fldCharType="end"/>
      </w:r>
    </w:p>
    <w:p>
      <w:pPr>
        <w:spacing w:line="360" w:lineRule="auto"/>
        <w:ind w:firstLine="422" w:firstLineChars="200"/>
        <w:rPr>
          <w:b/>
          <w:bCs/>
          <w:lang w:bidi="ar"/>
        </w:rPr>
      </w:pPr>
    </w:p>
    <w:p>
      <w:pPr>
        <w:spacing w:line="360" w:lineRule="auto"/>
        <w:ind w:firstLine="422" w:firstLineChars="200"/>
      </w:pPr>
      <w:r>
        <w:rPr>
          <w:b/>
          <w:bCs/>
          <w:lang w:bidi="ar"/>
        </w:rPr>
        <w:t>管理人将定期披露理财产品投向和投资比例，披露以实际投资情况为准。理财产品存续期内可能因市场的变化导致投资比例暂时超出上述比例区间，管理人将按照监管规定，调整恢复投资比例至约定区间。管理人有权根据政策变化及市场情况，在不损害投资者利益的基础上调整理财产品合同约定的投资范围、投资比例或浮动区间，并</w:t>
      </w:r>
      <w:r>
        <w:rPr>
          <w:b/>
          <w:bCs/>
          <w:color w:val="000000"/>
          <w:kern w:val="44"/>
          <w:szCs w:val="21"/>
        </w:rPr>
        <w:t>通过《投资者权益须知》</w:t>
      </w:r>
      <w:r>
        <w:rPr>
          <w:rFonts w:hint="eastAsia"/>
          <w:b/>
          <w:bCs/>
          <w:color w:val="000000"/>
          <w:kern w:val="44"/>
          <w:szCs w:val="21"/>
        </w:rPr>
        <w:t>“</w:t>
      </w:r>
      <w:r>
        <w:rPr>
          <w:b/>
          <w:bCs/>
          <w:color w:val="000000"/>
          <w:kern w:val="44"/>
          <w:szCs w:val="21"/>
        </w:rPr>
        <w:t>信息披露</w:t>
      </w:r>
      <w:r>
        <w:rPr>
          <w:rFonts w:hint="eastAsia"/>
          <w:b/>
          <w:bCs/>
          <w:color w:val="000000"/>
          <w:kern w:val="44"/>
          <w:szCs w:val="21"/>
        </w:rPr>
        <w:t>”</w:t>
      </w:r>
      <w:r>
        <w:rPr>
          <w:b/>
          <w:bCs/>
          <w:color w:val="000000"/>
          <w:kern w:val="44"/>
          <w:szCs w:val="21"/>
        </w:rPr>
        <w:t>约定的方式</w:t>
      </w:r>
      <w:r>
        <w:rPr>
          <w:b/>
          <w:bCs/>
          <w:lang w:bidi="ar"/>
        </w:rPr>
        <w:t>提前进行信息披露。超出理财产品合同约定比例的，除高风险类型的理财产品超出比例范围投资较低风险资产外，应当先</w:t>
      </w:r>
      <w:r>
        <w:rPr>
          <w:rFonts w:hint="eastAsia"/>
          <w:b/>
          <w:bCs/>
          <w:lang w:bidi="ar"/>
        </w:rPr>
        <w:t>征得</w:t>
      </w:r>
      <w:r>
        <w:rPr>
          <w:b/>
          <w:bCs/>
          <w:lang w:bidi="ar"/>
        </w:rPr>
        <w:t>投资者同意，并在全国银行业理财信息登记系统做好理财产品信息登记；</w:t>
      </w:r>
      <w:r>
        <w:rPr>
          <w:b/>
          <w:bCs/>
        </w:rPr>
        <w:t>投资者不接受的，</w:t>
      </w:r>
      <w:r>
        <w:rPr>
          <w:rFonts w:hint="eastAsia"/>
          <w:b/>
          <w:bCs/>
          <w:color w:val="000000"/>
          <w:kern w:val="44"/>
          <w:szCs w:val="21"/>
        </w:rPr>
        <w:t>管理人将根据法律法规要求允许投资者提前赎回本理财产品，具体方式等以届时公告为准</w:t>
      </w:r>
      <w:r>
        <w:rPr>
          <w:rFonts w:hint="eastAsia"/>
          <w:b/>
          <w:bCs/>
        </w:rPr>
        <w:t>。</w:t>
      </w:r>
    </w:p>
    <w:p>
      <w:pPr>
        <w:spacing w:line="360" w:lineRule="auto"/>
        <w:rPr>
          <w:b/>
          <w:bCs/>
          <w:lang w:bidi="ar"/>
        </w:rPr>
      </w:pPr>
    </w:p>
    <w:p>
      <w:pPr>
        <w:spacing w:line="360" w:lineRule="auto"/>
        <w:rPr>
          <w:rFonts w:hint="eastAsia"/>
          <w:b/>
          <w:bCs/>
          <w:lang w:bidi="ar"/>
        </w:rPr>
      </w:pPr>
      <w:r>
        <w:rPr>
          <w:rFonts w:hint="eastAsia"/>
          <w:b/>
          <w:bCs/>
          <w:lang w:bidi="ar"/>
        </w:rPr>
        <w:t>三、理财产品管理人</w:t>
      </w:r>
    </w:p>
    <w:p>
      <w:pPr>
        <w:spacing w:line="360" w:lineRule="auto"/>
        <w:ind w:firstLine="420" w:firstLineChars="200"/>
        <w:rPr>
          <w:rFonts w:hint="eastAsia"/>
          <w:lang w:bidi="ar"/>
        </w:rPr>
      </w:pPr>
      <w:r>
        <w:rPr>
          <w:lang w:bidi="ar"/>
        </w:rPr>
        <w:t>本</w:t>
      </w:r>
      <w:r>
        <w:rPr>
          <w:rFonts w:hint="eastAsia"/>
          <w:lang w:bidi="ar"/>
        </w:rPr>
        <w:t>理财</w:t>
      </w:r>
      <w:r>
        <w:rPr>
          <w:lang w:bidi="ar"/>
        </w:rPr>
        <w:t>产品</w:t>
      </w:r>
      <w:r>
        <w:rPr>
          <w:rFonts w:hint="eastAsia"/>
          <w:lang w:bidi="ar"/>
        </w:rPr>
        <w:t>的管理</w:t>
      </w:r>
      <w:r>
        <w:rPr>
          <w:lang w:bidi="ar"/>
        </w:rPr>
        <w:t>人为</w:t>
      </w:r>
      <w:r>
        <w:rPr>
          <w:lang w:bidi="ar"/>
        </w:rPr>
        <w:fldChar w:fldCharType="begin">
          <w:ffData>
            <w:name w:val="Text49"/>
            <w:enabled/>
            <w:calcOnExit w:val="0"/>
            <w:textInput/>
          </w:ffData>
        </w:fldChar>
      </w:r>
      <w:r>
        <w:rPr>
          <w:lang w:bidi="ar"/>
        </w:rPr>
        <w:instrText xml:space="preserve">FORMTEXT</w:instrText>
      </w:r>
      <w:r>
        <w:rPr>
          <w:lang w:bidi="ar"/>
        </w:rPr>
        <w:fldChar w:fldCharType="separate"/>
      </w:r>
      <w:r>
        <w:rPr>
          <w:rFonts w:hint="eastAsia"/>
          <w:lang w:bidi="ar"/>
        </w:rPr>
        <w:t>民生理财有限责任公司</w:t>
      </w:r>
      <w:r>
        <w:rPr>
          <w:lang w:bidi="ar"/>
        </w:rPr>
        <w:fldChar w:fldCharType="end"/>
      </w:r>
      <w:r>
        <w:rPr>
          <w:rFonts w:hint="eastAsia"/>
          <w:lang w:bidi="ar"/>
        </w:rPr>
        <w:t>。</w:t>
      </w:r>
    </w:p>
    <w:p>
      <w:pPr>
        <w:spacing w:line="360" w:lineRule="auto"/>
        <w:ind w:firstLine="420" w:firstLineChars="200"/>
        <w:rPr>
          <w:rFonts w:hint="eastAsia"/>
          <w:lang w:bidi="ar"/>
        </w:rPr>
      </w:pPr>
      <w:r>
        <w:rPr>
          <w:rFonts w:hint="eastAsia"/>
          <w:lang w:bidi="ar"/>
        </w:rPr>
        <w:t>民生理财有限责任公司是中国民生银行股份有限公司的全资子公司，注册资本50亿元人民币，注册地址：</w:t>
      </w:r>
      <w:bookmarkStart w:id="26" w:name="Text114"/>
      <w:r>
        <w:rPr>
          <w:lang w:bidi="ar"/>
        </w:rPr>
        <w:fldChar w:fldCharType="begin">
          <w:ffData>
            <w:name w:val="Text114"/>
            <w:enabled/>
            <w:calcOnExit w:val="0"/>
            <w:textInput>
              <w:default w:val="北京市顺义区后沙峪镇安平街3号，法定代表人：欧阳勇"/>
            </w:textInput>
          </w:ffData>
        </w:fldChar>
      </w:r>
      <w:r>
        <w:rPr>
          <w:lang w:bidi="ar"/>
        </w:rPr>
        <w:instrText xml:space="preserve">FORMTEXT</w:instrText>
      </w:r>
      <w:r>
        <w:rPr>
          <w:lang w:bidi="ar"/>
        </w:rPr>
        <w:fldChar w:fldCharType="separate"/>
      </w:r>
      <w:r>
        <w:rPr>
          <w:lang w:bidi="ar"/>
        </w:rPr>
        <w:t>北京市顺义区后沙峪镇安平街3号</w:t>
      </w:r>
      <w:r>
        <w:rPr>
          <w:lang w:bidi="ar"/>
        </w:rPr>
        <w:fldChar w:fldCharType="end"/>
      </w:r>
      <w:bookmarkEnd w:id="26"/>
      <w:r>
        <w:rPr>
          <w:rFonts w:hint="eastAsia"/>
          <w:lang w:bidi="ar"/>
        </w:rPr>
        <w:t>。公司成立于 2022年6月，前身是中国民生银行总行资产管理部，负责理财业务的发行、投资、运作和统筹管理。民生理财有限责任公司的经营范围包括</w:t>
      </w:r>
      <w:r>
        <w:rPr>
          <w:rFonts w:hint="eastAsia"/>
          <w:lang w:bidi="ar"/>
        </w:rPr>
        <w:fldChar w:fldCharType="begin">
          <w:ffData>
            <w:name w:val="Text27"/>
            <w:enabled/>
            <w:calcOnExit w:val="0"/>
            <w:textInput>
              <w:default w:val="非银行金融业务"/>
            </w:textInput>
          </w:ffData>
        </w:fldChar>
      </w:r>
      <w:r>
        <w:rPr>
          <w:rFonts w:hint="eastAsia"/>
          <w:lang w:bidi="ar"/>
        </w:rPr>
        <w:instrText xml:space="preserve">FORMTEXT</w:instrText>
      </w:r>
      <w:r>
        <w:rPr>
          <w:rFonts w:hint="eastAsia"/>
          <w:lang w:bidi="ar"/>
        </w:rPr>
        <w:fldChar w:fldCharType="separate"/>
      </w:r>
      <w:r>
        <w:rPr>
          <w:rFonts w:hint="eastAsia"/>
          <w:lang w:bidi="ar"/>
        </w:rPr>
        <w:t>非银行金融业务</w:t>
      </w:r>
      <w:r>
        <w:rPr>
          <w:rFonts w:hint="eastAsia"/>
          <w:lang w:bidi="ar"/>
        </w:rPr>
        <w:fldChar w:fldCharType="end"/>
      </w:r>
      <w:r>
        <w:rPr>
          <w:rFonts w:hint="eastAsia"/>
          <w:lang w:bidi="ar"/>
        </w:rPr>
        <w:t>。公司拥有专业化的投资团队和丰富的产品管理经验。</w:t>
      </w:r>
    </w:p>
    <w:p>
      <w:pPr>
        <w:spacing w:line="360" w:lineRule="auto"/>
        <w:rPr>
          <w:b/>
          <w:bCs/>
          <w:lang w:bidi="ar"/>
        </w:rPr>
      </w:pPr>
    </w:p>
    <w:p>
      <w:pPr>
        <w:spacing w:line="360" w:lineRule="auto"/>
        <w:rPr>
          <w:b/>
          <w:bCs/>
          <w:lang w:bidi="ar"/>
        </w:rPr>
      </w:pPr>
      <w:r>
        <w:rPr>
          <w:rFonts w:hint="eastAsia"/>
          <w:b/>
          <w:bCs/>
          <w:lang w:bidi="ar"/>
        </w:rPr>
        <w:t>四</w:t>
      </w:r>
      <w:r>
        <w:rPr>
          <w:b/>
          <w:bCs/>
          <w:lang w:bidi="ar"/>
        </w:rPr>
        <w:t>、理财产品托管</w:t>
      </w:r>
      <w:r>
        <w:rPr>
          <w:rFonts w:hint="eastAsia"/>
          <w:b/>
          <w:bCs/>
          <w:lang w:bidi="ar"/>
        </w:rPr>
        <w:t>人</w:t>
      </w:r>
    </w:p>
    <w:p>
      <w:pPr>
        <w:spacing w:line="360" w:lineRule="auto"/>
        <w:ind w:firstLine="420" w:firstLineChars="200"/>
        <w:rPr>
          <w:lang w:bidi="ar"/>
        </w:rPr>
      </w:pPr>
      <w:r>
        <w:rPr>
          <w:lang w:bidi="ar"/>
        </w:rPr>
        <w:t>本</w:t>
      </w:r>
      <w:r>
        <w:rPr>
          <w:rFonts w:hint="eastAsia"/>
          <w:lang w:bidi="ar"/>
        </w:rPr>
        <w:t>理财</w:t>
      </w:r>
      <w:r>
        <w:rPr>
          <w:lang w:bidi="ar"/>
        </w:rPr>
        <w:t>产品</w:t>
      </w:r>
      <w:r>
        <w:rPr>
          <w:rFonts w:hint="eastAsia"/>
          <w:lang w:bidi="ar"/>
        </w:rPr>
        <w:t>的</w:t>
      </w:r>
      <w:r>
        <w:rPr>
          <w:lang w:bidi="ar"/>
        </w:rPr>
        <w:t>托管人为</w:t>
      </w:r>
      <w:r>
        <w:rPr>
          <w:lang w:bidi="ar"/>
        </w:rPr>
        <w:fldChar w:fldCharType="begin">
          <w:ffData>
            <w:name w:val="Text48"/>
            <w:enabled/>
            <w:calcOnExit w:val="0"/>
            <w:textInput/>
          </w:ffData>
        </w:fldChar>
      </w:r>
      <w:r>
        <w:rPr>
          <w:lang w:bidi="ar"/>
        </w:rPr>
        <w:instrText xml:space="preserve">FORMTEXT</w:instrText>
      </w:r>
      <w:r>
        <w:rPr>
          <w:lang w:bidi="ar"/>
        </w:rPr>
        <w:fldChar w:fldCharType="separate"/>
      </w:r>
      <w:r>
        <w:rPr>
          <w:lang w:bidi="ar"/>
        </w:rPr>
        <w:t>中国民生银行股份有限公司</w:t>
      </w:r>
      <w:r>
        <w:rPr>
          <w:lang w:bidi="ar"/>
        </w:rPr>
        <w:fldChar w:fldCharType="end"/>
      </w:r>
      <w:r>
        <w:rPr>
          <w:lang w:bidi="ar"/>
        </w:rPr>
        <w:t>。管理人聘请其担任托管人已履行现行法律法规和监管规定所规定必须履行的程序，管理人、投资者同意并接受理财产品由托管人托管。</w:t>
      </w:r>
    </w:p>
    <w:p>
      <w:pPr>
        <w:spacing w:line="360" w:lineRule="auto"/>
        <w:ind w:firstLine="422" w:firstLineChars="200"/>
        <w:rPr>
          <w:rFonts w:hint="eastAsia"/>
          <w:b/>
          <w:bCs/>
          <w:lang w:bidi="ar"/>
        </w:rPr>
      </w:pPr>
      <w:r>
        <w:rPr>
          <w:rFonts w:hint="eastAsia"/>
          <w:b/>
          <w:bCs/>
          <w:lang w:bidi="ar"/>
        </w:rPr>
        <w:t>（一）托管人基本信息</w:t>
      </w:r>
    </w:p>
    <w:p>
      <w:pPr>
        <w:spacing w:line="360" w:lineRule="auto"/>
        <w:ind w:firstLine="420" w:firstLineChars="200"/>
        <w:rPr>
          <w:rFonts w:hint="eastAsia"/>
          <w:lang w:bidi="ar"/>
        </w:rPr>
      </w:pPr>
      <w:r>
        <w:rPr>
          <w:rFonts w:hint="eastAsia"/>
          <w:lang w:bidi="ar"/>
        </w:rPr>
        <w:fldChar w:fldCharType="begin">
          <w:ffData>
            <w:name w:val="Text44"/>
            <w:enabled/>
            <w:calcOnExit w:val="0"/>
            <w:textInput>
              <w:default w:val="托管人：中国民生银行股份有限公司&#13;&#10;法定代表人：高迎欣&#13;&#10;注册地址：北京市西城区复兴门内大街2号"/>
            </w:textInput>
          </w:ffData>
        </w:fldChar>
      </w:r>
      <w:r>
        <w:rPr>
          <w:rFonts w:hint="eastAsia"/>
          <w:lang w:bidi="ar"/>
        </w:rPr>
        <w:instrText xml:space="preserve">FORMTEXT</w:instrText>
      </w:r>
      <w:r>
        <w:rPr>
          <w:rFonts w:hint="eastAsia"/>
          <w:lang w:bidi="ar"/>
        </w:rPr>
        <w:fldChar w:fldCharType="separate"/>
      </w:r>
      <w:r>
        <w:rPr>
          <w:rFonts w:hint="eastAsia"/>
          <w:lang w:bidi="ar"/>
        </w:rPr>
        <w:t>托管人：中国民生银行股份有限公司</w:t>
      </w:r>
      <w:r>
        <w:rPr>
          <w:rFonts w:hint="eastAsia"/>
          <w:lang w:bidi="ar"/>
        </w:rPr>
        <w:cr/>
      </w:r>
      <w:r>
        <w:rPr>
          <w:rFonts w:hint="eastAsia"/>
          <w:lang w:bidi="ar"/>
        </w:rPr>
        <w:t>
   注册地址：北京市西城区复兴门内大街2号</w:t>
      </w:r>
      <w:r>
        <w:rPr>
          <w:rFonts w:hint="eastAsia"/>
          <w:lang w:bidi="ar"/>
        </w:rPr>
        <w:fldChar w:fldCharType="end"/>
      </w:r>
    </w:p>
    <w:p>
      <w:pPr>
        <w:spacing w:line="360" w:lineRule="auto"/>
        <w:ind w:firstLine="422" w:firstLineChars="200"/>
        <w:rPr>
          <w:b/>
          <w:bCs/>
          <w:lang w:bidi="ar"/>
        </w:rPr>
      </w:pPr>
      <w:r>
        <w:rPr>
          <w:b/>
          <w:bCs/>
          <w:lang w:bidi="ar"/>
        </w:rPr>
        <w:fldChar w:fldCharType="begin">
          <w:ffData>
            <w:name w:val="Text47"/>
            <w:enabled/>
            <w:calcOnExit w:val="0"/>
            <w:textInput/>
          </w:ffData>
        </w:fldChar>
      </w:r>
      <w:r>
        <w:rPr>
          <w:b/>
          <w:bCs/>
          <w:lang w:bidi="ar"/>
        </w:rPr>
        <w:instrText xml:space="preserve">FORMTEXT</w:instrText>
      </w:r>
      <w:r>
        <w:rPr>
          <w:b/>
          <w:bCs/>
          <w:lang w:bidi="ar"/>
        </w:rPr>
        <w:fldChar w:fldCharType="separate"/>
      </w:r>
      <w:r>
        <w:rPr>
          <w:b/>
          <w:bCs/>
          <w:lang w:bidi="ar"/>
        </w:rPr>
        <w:t>托管人</w:t>
      </w:r>
      <w:r>
        <w:rPr>
          <w:rFonts w:hint="eastAsia"/>
          <w:b/>
          <w:bCs/>
          <w:lang w:val="en-US" w:eastAsia="zh-CN" w:bidi="ar"/>
        </w:rPr>
        <w:t>如</w:t>
      </w:r>
      <w:r>
        <w:rPr>
          <w:b/>
          <w:bCs/>
          <w:lang w:bidi="ar"/>
        </w:rPr>
        <w:t>为管理人的关联方，管理人聘请其担任托管人已履行了现行法律法规和监管规定所规定必须履行的程序</w:t>
      </w:r>
      <w:r>
        <w:rPr>
          <w:rFonts w:hint="eastAsia"/>
          <w:b/>
          <w:bCs/>
          <w:lang w:bidi="ar"/>
        </w:rPr>
        <w:t>，</w:t>
      </w:r>
      <w:r>
        <w:rPr>
          <w:b/>
          <w:bCs/>
          <w:lang w:bidi="ar"/>
        </w:rPr>
        <w:t>管理人、投资者同意并接受</w:t>
      </w:r>
      <w:r>
        <w:rPr>
          <w:rFonts w:hint="eastAsia"/>
          <w:b/>
          <w:bCs/>
          <w:lang w:bidi="ar"/>
        </w:rPr>
        <w:t>本</w:t>
      </w:r>
      <w:r>
        <w:rPr>
          <w:b/>
          <w:bCs/>
          <w:lang w:bidi="ar"/>
        </w:rPr>
        <w:t>理财产品由托管人托管。</w:t>
      </w:r>
    </w:p>
    <w:p>
      <w:pPr>
        <w:spacing w:line="360" w:lineRule="auto"/>
        <w:ind w:firstLine="422" w:firstLineChars="200"/>
        <w:rPr>
          <w:b/>
          <w:bCs/>
          <w:lang w:bidi="ar"/>
        </w:rPr>
      </w:pPr>
      <w:r>
        <w:rPr>
          <w:b/>
          <w:bCs/>
          <w:lang w:bidi="ar"/>
        </w:rPr>
        <w:t>   </w:t>
      </w:r>
      <w:r>
        <w:rPr>
          <w:b/>
          <w:bCs/>
          <w:lang w:bidi="ar"/>
        </w:rPr>
        <w:fldChar w:fldCharType="end"/>
      </w:r>
    </w:p>
    <w:p>
      <w:pPr>
        <w:spacing w:line="360" w:lineRule="auto"/>
        <w:ind w:firstLine="422" w:firstLineChars="200"/>
        <w:rPr>
          <w:b/>
          <w:bCs/>
          <w:lang w:bidi="ar"/>
        </w:rPr>
      </w:pPr>
      <w:r>
        <w:rPr>
          <w:b/>
          <w:bCs/>
          <w:lang w:bidi="ar"/>
        </w:rPr>
        <w:t>（二）托管人职责</w:t>
      </w:r>
    </w:p>
    <w:p>
      <w:pPr>
        <w:spacing w:line="360" w:lineRule="auto"/>
        <w:ind w:firstLine="420" w:firstLineChars="200"/>
        <w:rPr>
          <w:lang w:bidi="ar"/>
        </w:rPr>
      </w:pPr>
      <w:r>
        <w:rPr>
          <w:lang w:bidi="ar"/>
        </w:rPr>
        <w:t>1.安全保管理财产品财产；</w:t>
      </w:r>
    </w:p>
    <w:p>
      <w:pPr>
        <w:spacing w:line="360" w:lineRule="auto"/>
        <w:ind w:firstLine="420" w:firstLineChars="200"/>
        <w:rPr>
          <w:lang w:bidi="ar"/>
        </w:rPr>
      </w:pPr>
      <w:r>
        <w:rPr>
          <w:lang w:bidi="ar"/>
        </w:rPr>
        <w:t>2.为理财产品开立银行托管账户、证券账户等；</w:t>
      </w:r>
    </w:p>
    <w:p>
      <w:pPr>
        <w:spacing w:line="360" w:lineRule="auto"/>
        <w:ind w:firstLine="420" w:firstLineChars="200"/>
        <w:rPr>
          <w:lang w:bidi="ar"/>
        </w:rPr>
      </w:pPr>
      <w:r>
        <w:rPr>
          <w:lang w:bidi="ar"/>
        </w:rPr>
        <w:t>3.按照托管协议约定和</w:t>
      </w:r>
      <w:r>
        <w:rPr>
          <w:rFonts w:hint="eastAsia"/>
          <w:lang w:bidi="ar"/>
        </w:rPr>
        <w:t>管理人</w:t>
      </w:r>
      <w:r>
        <w:rPr>
          <w:lang w:bidi="ar"/>
        </w:rPr>
        <w:t>的投资指令</w:t>
      </w:r>
      <w:r>
        <w:rPr>
          <w:rFonts w:hint="eastAsia"/>
          <w:lang w:bidi="ar"/>
        </w:rPr>
        <w:t>，</w:t>
      </w:r>
      <w:r>
        <w:rPr>
          <w:lang w:bidi="ar"/>
        </w:rPr>
        <w:t>确认与执行理财产品资金划拨指令，办理理财产品资金的收付，核对理财产品资金划拨记录</w:t>
      </w:r>
      <w:r>
        <w:rPr>
          <w:rFonts w:hint="eastAsia"/>
          <w:lang w:bidi="ar"/>
        </w:rPr>
        <w:t>，及时办理清算、交割事宜</w:t>
      </w:r>
      <w:r>
        <w:rPr>
          <w:lang w:bidi="ar"/>
        </w:rPr>
        <w:t>；</w:t>
      </w:r>
    </w:p>
    <w:p>
      <w:pPr>
        <w:spacing w:line="360" w:lineRule="auto"/>
        <w:ind w:firstLine="420" w:firstLineChars="200"/>
        <w:rPr>
          <w:lang w:bidi="ar"/>
        </w:rPr>
      </w:pPr>
      <w:r>
        <w:rPr>
          <w:lang w:bidi="ar"/>
        </w:rPr>
        <w:t>4.建立与管理人的对账机制，复核</w:t>
      </w:r>
      <w:r>
        <w:rPr>
          <w:rFonts w:hint="eastAsia"/>
          <w:lang w:bidi="ar"/>
        </w:rPr>
        <w:t>、审查</w:t>
      </w:r>
      <w:r>
        <w:rPr>
          <w:lang w:bidi="ar"/>
        </w:rPr>
        <w:t>理财产品资金头寸、资产账目</w:t>
      </w:r>
      <w:r>
        <w:rPr>
          <w:rFonts w:hint="eastAsia"/>
          <w:lang w:bidi="ar"/>
        </w:rPr>
        <w:t>、</w:t>
      </w:r>
      <w:r>
        <w:rPr>
          <w:lang w:bidi="ar"/>
        </w:rPr>
        <w:t>资产净值、理财产品份额赎回价格，及时核查</w:t>
      </w:r>
      <w:r>
        <w:rPr>
          <w:rFonts w:hint="eastAsia"/>
          <w:lang w:bidi="ar"/>
        </w:rPr>
        <w:t>认购、赎回及</w:t>
      </w:r>
      <w:r>
        <w:rPr>
          <w:lang w:bidi="ar"/>
        </w:rPr>
        <w:t>投资资金的支付和到账情况；</w:t>
      </w:r>
    </w:p>
    <w:p>
      <w:pPr>
        <w:spacing w:line="360" w:lineRule="auto"/>
        <w:ind w:firstLine="420" w:firstLineChars="200"/>
        <w:rPr>
          <w:lang w:bidi="ar"/>
        </w:rPr>
      </w:pPr>
      <w:r>
        <w:rPr>
          <w:lang w:bidi="ar"/>
        </w:rPr>
        <w:t>5.监督理财产品投资运作</w:t>
      </w:r>
      <w:r>
        <w:rPr>
          <w:rFonts w:hint="eastAsia"/>
          <w:lang w:bidi="ar"/>
        </w:rPr>
        <w:t>，发现理财产品违反法律、行政法规、规章规定或合同约定进行投资的，应当拒绝执行并及时通知管理人</w:t>
      </w:r>
      <w:r>
        <w:rPr>
          <w:lang w:bidi="ar"/>
        </w:rPr>
        <w:t>；</w:t>
      </w:r>
    </w:p>
    <w:p>
      <w:pPr>
        <w:spacing w:line="360" w:lineRule="auto"/>
        <w:ind w:firstLine="420" w:firstLineChars="200"/>
        <w:rPr>
          <w:lang w:bidi="ar"/>
        </w:rPr>
      </w:pPr>
      <w:r>
        <w:rPr>
          <w:lang w:bidi="ar"/>
        </w:rPr>
        <w:t>6.办理与理财产品托管业务活动相关的信息披露事项</w:t>
      </w:r>
      <w:r>
        <w:rPr>
          <w:rFonts w:hint="eastAsia"/>
          <w:lang w:bidi="ar"/>
        </w:rPr>
        <w:t>，包括披露理财产品托管协议、对理财产品信息披露文件中的理财产品财务会计报告等出具意见，在理财产品半年度和年度报告中出具理财托管机构报告等</w:t>
      </w:r>
      <w:r>
        <w:rPr>
          <w:lang w:bidi="ar"/>
        </w:rPr>
        <w:t>；</w:t>
      </w:r>
    </w:p>
    <w:p>
      <w:pPr>
        <w:spacing w:line="360" w:lineRule="auto"/>
        <w:ind w:firstLine="420" w:firstLineChars="200"/>
        <w:rPr>
          <w:lang w:bidi="ar"/>
        </w:rPr>
      </w:pPr>
      <w:r>
        <w:rPr>
          <w:lang w:bidi="ar"/>
        </w:rPr>
        <w:t>7.理财产品托管业务活动的记录、账册、报表和其他相关材料</w:t>
      </w:r>
      <w:r>
        <w:rPr>
          <w:rFonts w:hint="eastAsia"/>
          <w:lang w:bidi="ar"/>
        </w:rPr>
        <w:t>保存15年及以上</w:t>
      </w:r>
      <w:r>
        <w:rPr>
          <w:lang w:bidi="ar"/>
        </w:rPr>
        <w:t>；</w:t>
      </w:r>
    </w:p>
    <w:p>
      <w:pPr>
        <w:spacing w:line="360" w:lineRule="auto"/>
        <w:ind w:firstLine="420" w:firstLineChars="200"/>
        <w:rPr>
          <w:lang w:bidi="ar"/>
        </w:rPr>
      </w:pPr>
      <w:r>
        <w:rPr>
          <w:lang w:bidi="ar"/>
        </w:rPr>
        <w:t>8.对理财产品投资信息和相关资料承担保密责任</w:t>
      </w:r>
      <w:r>
        <w:rPr>
          <w:rFonts w:hint="eastAsia"/>
          <w:lang w:bidi="ar"/>
        </w:rPr>
        <w:t>，除法律、行政法规、规章规定、审计要求或者合同约定外，不得向任何机构或者个人提供相关信息和资料</w:t>
      </w:r>
      <w:r>
        <w:rPr>
          <w:lang w:bidi="ar"/>
        </w:rPr>
        <w:t>；</w:t>
      </w:r>
    </w:p>
    <w:p>
      <w:pPr>
        <w:spacing w:line="360" w:lineRule="auto"/>
        <w:ind w:firstLine="420" w:firstLineChars="200"/>
        <w:rPr>
          <w:lang w:bidi="ar"/>
        </w:rPr>
      </w:pPr>
      <w:r>
        <w:rPr>
          <w:lang w:bidi="ar"/>
        </w:rPr>
        <w:t>9.国务院银行业监督管理机构规定的其他职责。</w:t>
      </w:r>
    </w:p>
    <w:p>
      <w:pPr>
        <w:spacing w:line="360" w:lineRule="auto"/>
        <w:ind w:firstLine="420" w:firstLineChars="200"/>
        <w:rPr>
          <w:lang w:bidi="ar"/>
        </w:rPr>
      </w:pPr>
    </w:p>
    <w:p>
      <w:pPr>
        <w:spacing w:line="360" w:lineRule="auto"/>
        <w:rPr>
          <w:b/>
          <w:bCs/>
          <w:lang w:bidi="ar"/>
        </w:rPr>
      </w:pPr>
      <w:r>
        <w:rPr>
          <w:rFonts w:hint="eastAsia"/>
          <w:b/>
          <w:bCs/>
          <w:lang w:bidi="ar"/>
        </w:rPr>
        <w:t>五</w:t>
      </w:r>
      <w:r>
        <w:rPr>
          <w:b/>
          <w:bCs/>
          <w:lang w:bidi="ar"/>
        </w:rPr>
        <w:t>、理财产品</w:t>
      </w:r>
      <w:r>
        <w:rPr>
          <w:rFonts w:hint="eastAsia"/>
          <w:b/>
          <w:bCs/>
          <w:lang w:bidi="ar"/>
        </w:rPr>
        <w:t>代理销售机构</w:t>
      </w:r>
    </w:p>
    <w:p>
      <w:pPr>
        <w:spacing w:line="360" w:lineRule="auto"/>
        <w:ind w:firstLine="420" w:firstLineChars="200"/>
        <w:rPr>
          <w:lang w:bidi="ar"/>
        </w:rPr>
      </w:pPr>
      <w:r>
        <w:rPr>
          <w:lang w:bidi="ar"/>
        </w:rPr>
        <w:t>本</w:t>
      </w:r>
      <w:r>
        <w:rPr>
          <w:rFonts w:hint="eastAsia"/>
          <w:lang w:bidi="ar"/>
        </w:rPr>
        <w:t>理财</w:t>
      </w:r>
      <w:r>
        <w:rPr>
          <w:lang w:bidi="ar"/>
        </w:rPr>
        <w:t>产品</w:t>
      </w:r>
      <w:r>
        <w:rPr>
          <w:rFonts w:hint="eastAsia"/>
          <w:lang w:bidi="ar"/>
        </w:rPr>
        <w:t>的代理销售机构</w:t>
      </w:r>
      <w:r>
        <w:rPr>
          <w:lang w:bidi="ar"/>
        </w:rPr>
        <w:t>为</w:t>
      </w:r>
      <w:bookmarkStart w:id="27" w:name="Text48"/>
      <w:r>
        <w:rPr>
          <w:rFonts w:hint="eastAsia" w:ascii="Times New Roman" w:hAnsi="Times New Roman" w:eastAsia="宋体" w:cs="Times New Roman"/>
          <w:kern w:val="2"/>
          <w:sz w:val="21"/>
          <w:szCs w:val="24"/>
          <w:lang w:val="en-US" w:eastAsia="zh-CN" w:bidi="ar"/>
        </w:rPr>
        <w:fldChar w:fldCharType="begin">
          <w:ffData>
            <w:name w:val="Text48"/>
            <w:enabled/>
            <w:calcOnExit w:val="0"/>
            <w:textInput>
              <w:default w:val="中国民生银行股份有限公司、湖南银行股份有限公司、吉林银行股份有限公司、广州农村商业银行股份有限公司、上海浦东发展银行股份有限公司"/>
            </w:textInput>
          </w:ffData>
        </w:fldChar>
      </w:r>
      <w:r>
        <w:rPr>
          <w:rFonts w:hint="eastAsia" w:ascii="Times New Roman" w:hAnsi="Times New Roman" w:eastAsia="宋体" w:cs="Times New Roman"/>
          <w:kern w:val="2"/>
          <w:sz w:val="21"/>
          <w:szCs w:val="24"/>
          <w:lang w:val="en-US" w:eastAsia="zh-CN" w:bidi="ar"/>
        </w:rPr>
        <w:instrText xml:space="preserve">FORMTEXT</w:instrText>
      </w:r>
      <w:r>
        <w:rPr>
          <w:rFonts w:hint="eastAsia" w:ascii="Times New Roman" w:hAnsi="Times New Roman" w:eastAsia="宋体" w:cs="Times New Roman"/>
          <w:kern w:val="2"/>
          <w:sz w:val="21"/>
          <w:szCs w:val="24"/>
          <w:lang w:val="en-US" w:eastAsia="zh-CN" w:bidi="ar"/>
        </w:rPr>
        <w:fldChar w:fldCharType="separate"/>
      </w:r>
      <w:r>
        <w:rPr>
          <w:rFonts w:hint="eastAsia" w:ascii="Times New Roman" w:hAnsi="Times New Roman" w:eastAsia="宋体" w:cs="Times New Roman"/>
          <w:kern w:val="2"/>
          <w:sz w:val="21"/>
          <w:szCs w:val="24"/>
          <w:lang w:val="en-US" w:eastAsia="zh-CN" w:bidi="ar"/>
        </w:rPr>
        <w:t>中国民生银行股份有限公司、湖南银行股份有限公司、吉林银行股份有限公司、广州农村商业银行股份有限公司、上海浦东发展银行股份有限公司</w:t>
      </w:r>
      <w:r>
        <w:rPr>
          <w:rFonts w:hint="eastAsia" w:ascii="Times New Roman" w:hAnsi="Times New Roman" w:eastAsia="宋体" w:cs="Times New Roman"/>
          <w:kern w:val="2"/>
          <w:sz w:val="21"/>
          <w:szCs w:val="24"/>
          <w:lang w:val="en-US" w:eastAsia="zh-CN" w:bidi="ar"/>
        </w:rPr>
        <w:fldChar w:fldCharType="end"/>
      </w:r>
      <w:bookmarkEnd w:id="27"/>
      <w:r>
        <w:rPr>
          <w:rFonts w:hint="eastAsia"/>
          <w:lang w:bidi="ar"/>
        </w:rPr>
        <w:t>，后续如有变更，管理人将以公告方式进行信息披露</w:t>
      </w:r>
      <w:r>
        <w:rPr>
          <w:lang w:bidi="ar"/>
        </w:rPr>
        <w:t>。</w:t>
      </w:r>
      <w:r>
        <w:rPr>
          <w:rFonts w:hint="eastAsia"/>
          <w:lang w:bidi="ar"/>
        </w:rPr>
        <w:t>管理人与代理销售机构签订了代</w:t>
      </w:r>
      <w:r>
        <w:rPr>
          <w:rFonts w:hint="eastAsia"/>
          <w:lang w:val="en-US" w:eastAsia="zh-CN" w:bidi="ar"/>
        </w:rPr>
        <w:t>理</w:t>
      </w:r>
      <w:r>
        <w:rPr>
          <w:rFonts w:hint="eastAsia"/>
          <w:lang w:bidi="ar"/>
        </w:rPr>
        <w:t>销售合作协议，委托代理销售机构代为办理本理财产品的认购、赎回、份额登记、销售结算资金归集划转、信息服务、风险揭示等业务。</w:t>
      </w:r>
      <w:r>
        <w:rPr>
          <w:lang w:bidi="ar"/>
        </w:rPr>
        <w:t>管理人、投资者同意并接受</w:t>
      </w:r>
      <w:r>
        <w:rPr>
          <w:rFonts w:hint="eastAsia"/>
          <w:lang w:bidi="ar"/>
        </w:rPr>
        <w:t>本</w:t>
      </w:r>
      <w:r>
        <w:rPr>
          <w:lang w:bidi="ar"/>
        </w:rPr>
        <w:t>理财产品</w:t>
      </w:r>
      <w:r>
        <w:rPr>
          <w:rFonts w:hint="eastAsia"/>
          <w:lang w:bidi="ar"/>
        </w:rPr>
        <w:t>由代理销售机构进行销售</w:t>
      </w:r>
      <w:r>
        <w:rPr>
          <w:lang w:bidi="ar"/>
        </w:rPr>
        <w:t>。</w:t>
      </w:r>
    </w:p>
    <w:p>
      <w:pPr>
        <w:spacing w:line="360" w:lineRule="auto"/>
        <w:ind w:firstLine="422" w:firstLineChars="200"/>
        <w:rPr>
          <w:rFonts w:hint="eastAsia"/>
          <w:b/>
          <w:bCs/>
          <w:lang w:bidi="ar"/>
        </w:rPr>
      </w:pPr>
      <w:r>
        <w:rPr>
          <w:rFonts w:hint="eastAsia"/>
          <w:b/>
          <w:bCs/>
          <w:lang w:bidi="ar"/>
        </w:rPr>
        <w:t>（一）代理销售机构基本信息</w:t>
      </w:r>
    </w:p>
    <w:p>
      <w:pPr>
        <w:spacing w:line="360" w:lineRule="auto"/>
        <w:ind w:firstLine="420" w:firstLineChars="200"/>
        <w:rPr>
          <w:rFonts w:hint="eastAsia"/>
          <w:lang w:val="en-US" w:eastAsia="zh-CN" w:bidi="ar"/>
        </w:rPr>
      </w:pPr>
      <w:bookmarkStart w:id="28" w:name="Text91"/>
      <w:r>
        <w:rPr>
          <w:lang w:bidi="ar"/>
        </w:rPr>
        <w:fldChar w:fldCharType="begin">
          <w:ffData>
            <w:name w:val="Text91"/>
            <w:enabled/>
            <w:calcOnExit w:val="0"/>
            <w:textInput>
              <w:default w:val="机构名称：中国民生银行股份有限公司&#13;&#10;法定代表人：高迎欣&#13;&#10;注册地址：北京市西城区复兴门内大街2号&#13;&#10;官方网站：www.cmbc.com.cn&#13;&#10;全国统一客户服务热线：95568"/>
            </w:textInput>
          </w:ffData>
        </w:fldChar>
      </w:r>
      <w:r>
        <w:rPr>
          <w:lang w:bidi="ar"/>
        </w:rPr>
        <w:instrText xml:space="preserve">FORMTEXT</w:instrText>
      </w:r>
      <w:r>
        <w:rPr>
          <w:lang w:bidi="ar"/>
        </w:rPr>
        <w:fldChar w:fldCharType="separate"/>
      </w:r>
      <w:r>
        <w:rPr>
          <w:lang w:bidi="ar"/>
        </w:rPr>
        <w:t>机构名称：中国民生银行股份有限公司</w:t>
      </w:r>
      <w:r>
        <w:rPr>
          <w:lang w:bidi="ar"/>
        </w:rPr>
        <w:cr/>
      </w:r>
      <w:r>
        <w:rPr>
          <w:lang w:bidi="ar"/>
        </w:rPr>
        <w:t>
</w:t>
      </w:r>
      <w:r>
        <w:rPr>
          <w:rFonts w:hint="eastAsia"/>
          <w:lang w:bidi="ar"/>
        </w:rPr>
        <w:t xml:space="preserve">   </w:t>
      </w:r>
      <w:r>
        <w:rPr>
          <w:lang w:bidi="ar"/>
        </w:rPr>
        <w:t>注册地址：北京市西城区复兴门内大街2号</w:t>
      </w:r>
      <w:r>
        <w:rPr>
          <w:lang w:bidi="ar"/>
        </w:rPr>
        <w:cr/>
      </w:r>
      <w:r>
        <w:rPr>
          <w:lang w:bidi="ar"/>
        </w:rPr>
        <w:t>
</w:t>
      </w:r>
      <w:r>
        <w:rPr>
          <w:rFonts w:hint="eastAsia"/>
          <w:lang w:bidi="ar"/>
        </w:rPr>
        <w:t xml:space="preserve">   </w:t>
      </w:r>
      <w:r>
        <w:rPr>
          <w:lang w:bidi="ar"/>
        </w:rPr>
        <w:t>官方网站：www.cmbc.com.cn</w:t>
      </w:r>
      <w:r>
        <w:rPr>
          <w:lang w:bidi="ar"/>
        </w:rPr>
        <w:cr/>
      </w:r>
      <w:r>
        <w:rPr>
          <w:lang w:bidi="ar"/>
        </w:rPr>
        <w:t>
</w:t>
      </w:r>
      <w:r>
        <w:rPr>
          <w:rFonts w:hint="eastAsia"/>
          <w:lang w:bidi="ar"/>
        </w:rPr>
        <w:t xml:space="preserve">   </w:t>
      </w:r>
      <w:r>
        <w:rPr>
          <w:lang w:bidi="ar"/>
        </w:rPr>
        <w:t>客户服务热线：9556</w:t>
      </w:r>
      <w:r>
        <w:rPr>
          <w:rFonts w:hint="eastAsia"/>
          <w:lang w:val="en-US" w:eastAsia="zh-CN" w:bidi="ar"/>
        </w:rPr>
        <w:t>8</w:t>
      </w:r>
    </w:p>
    <w:p>
      <w:pPr>
        <w:pStyle w:val="2"/>
        <w:rPr>
          <w:rFonts w:hint="eastAsia"/>
          <w:lang w:val="en-US" w:eastAsia="zh-CN"/>
        </w:rPr>
      </w:pPr>
    </w:p>
    <w:p>
      <w:pPr>
        <w:spacing w:line="360" w:lineRule="auto"/>
        <w:ind w:firstLine="420" w:firstLineChars="200"/>
        <w:rPr>
          <w:rFonts w:hint="eastAsia"/>
          <w:lang w:val="en-US" w:eastAsia="zh-CN" w:bidi="ar"/>
        </w:rPr>
      </w:pPr>
      <w:r>
        <w:rPr>
          <w:rFonts w:hint="eastAsia"/>
          <w:lang w:val="en-US" w:eastAsia="zh-CN" w:bidi="ar"/>
        </w:rPr>
        <w:t>机构名称：湖南银行股份有限公司</w:t>
      </w:r>
    </w:p>
    <w:p>
      <w:pPr>
        <w:spacing w:line="360" w:lineRule="auto"/>
        <w:ind w:firstLine="420" w:firstLineChars="200"/>
        <w:rPr>
          <w:rFonts w:hint="eastAsia"/>
          <w:lang w:val="en-US" w:eastAsia="zh-CN" w:bidi="ar"/>
        </w:rPr>
      </w:pPr>
      <w:r>
        <w:rPr>
          <w:rFonts w:hint="eastAsia"/>
          <w:lang w:val="en-US" w:eastAsia="zh-CN" w:bidi="ar"/>
        </w:rPr>
        <w:t>注册地址：湖南省长沙市天心区湘江中路二段210号</w:t>
      </w:r>
    </w:p>
    <w:p>
      <w:pPr>
        <w:spacing w:line="360" w:lineRule="auto"/>
        <w:ind w:firstLine="420" w:firstLineChars="200"/>
        <w:rPr>
          <w:rFonts w:hint="eastAsia"/>
          <w:lang w:val="en-US" w:eastAsia="zh-CN" w:bidi="ar"/>
        </w:rPr>
      </w:pPr>
      <w:r>
        <w:rPr>
          <w:rFonts w:hint="eastAsia"/>
          <w:lang w:val="en-US" w:eastAsia="zh-CN" w:bidi="ar"/>
        </w:rPr>
        <w:t>官方网站：www.hunan-bank.com</w:t>
      </w:r>
    </w:p>
    <w:p>
      <w:pPr>
        <w:spacing w:line="360" w:lineRule="auto"/>
        <w:ind w:firstLine="420" w:firstLineChars="200"/>
        <w:rPr>
          <w:rFonts w:hint="eastAsia"/>
          <w:lang w:val="en-US" w:eastAsia="zh-CN" w:bidi="ar"/>
        </w:rPr>
      </w:pPr>
      <w:r>
        <w:rPr>
          <w:rFonts w:hint="eastAsia"/>
          <w:lang w:val="en-US" w:eastAsia="zh-CN" w:bidi="ar"/>
        </w:rPr>
        <w:t>客户服务热线：0731-96599</w:t>
      </w:r>
    </w:p>
    <w:p>
      <w:pPr>
        <w:pStyle w:val="2"/>
        <w:rPr>
          <w:rFonts w:hint="eastAsia"/>
          <w:lang w:val="en-US" w:eastAsia="zh-CN"/>
        </w:rPr>
      </w:pPr>
    </w:p>
    <w:p>
      <w:pPr>
        <w:spacing w:line="360" w:lineRule="auto"/>
        <w:ind w:firstLine="420" w:firstLineChars="200"/>
        <w:rPr>
          <w:rFonts w:hint="eastAsia"/>
          <w:lang w:val="en-US" w:eastAsia="zh-CN" w:bidi="ar"/>
        </w:rPr>
      </w:pPr>
      <w:r>
        <w:rPr>
          <w:rFonts w:hint="eastAsia"/>
          <w:lang w:val="en-US" w:eastAsia="zh-CN" w:bidi="ar"/>
        </w:rPr>
        <w:t>机构名称：吉林银行股份有限公司</w:t>
      </w:r>
    </w:p>
    <w:p>
      <w:pPr>
        <w:spacing w:line="360" w:lineRule="auto"/>
        <w:ind w:firstLine="420" w:firstLineChars="200"/>
        <w:rPr>
          <w:rFonts w:hint="eastAsia"/>
          <w:lang w:val="en-US" w:eastAsia="zh-CN" w:bidi="ar"/>
        </w:rPr>
      </w:pPr>
      <w:r>
        <w:rPr>
          <w:rFonts w:hint="eastAsia"/>
          <w:lang w:val="en-US" w:eastAsia="zh-CN" w:bidi="ar"/>
        </w:rPr>
        <w:t>注册地址：吉林省长春市南关区人民大街10666号</w:t>
      </w:r>
    </w:p>
    <w:p>
      <w:pPr>
        <w:spacing w:line="360" w:lineRule="auto"/>
        <w:ind w:firstLine="420" w:firstLineChars="200"/>
        <w:rPr>
          <w:rFonts w:hint="eastAsia"/>
          <w:lang w:val="en-US" w:eastAsia="zh-CN" w:bidi="ar"/>
        </w:rPr>
      </w:pPr>
      <w:r>
        <w:rPr>
          <w:rFonts w:hint="eastAsia"/>
          <w:lang w:val="en-US" w:eastAsia="zh-CN" w:bidi="ar"/>
        </w:rPr>
        <w:t>官方网站：www.jlbank.com.cn</w:t>
      </w:r>
    </w:p>
    <w:p>
      <w:pPr>
        <w:spacing w:line="360" w:lineRule="auto"/>
        <w:ind w:firstLine="420" w:firstLineChars="200"/>
        <w:rPr>
          <w:rFonts w:hint="eastAsia"/>
          <w:lang w:val="en-US" w:eastAsia="zh-CN" w:bidi="ar"/>
        </w:rPr>
      </w:pPr>
      <w:r>
        <w:rPr>
          <w:rFonts w:hint="eastAsia"/>
          <w:lang w:val="en-US" w:eastAsia="zh-CN" w:bidi="ar"/>
        </w:rPr>
        <w:t>客户服务热线：400-88-96666</w:t>
      </w:r>
    </w:p>
    <w:p>
      <w:pPr>
        <w:spacing w:line="360" w:lineRule="auto"/>
        <w:ind w:firstLine="420" w:firstLineChars="200"/>
        <w:rPr>
          <w:rFonts w:hint="eastAsia"/>
          <w:lang w:val="en-US" w:eastAsia="zh-CN" w:bidi="ar"/>
        </w:rPr>
      </w:pPr>
    </w:p>
    <w:p>
      <w:pPr>
        <w:spacing w:line="360" w:lineRule="auto"/>
        <w:ind w:firstLine="420" w:firstLineChars="200"/>
        <w:rPr>
          <w:rFonts w:hint="eastAsia"/>
          <w:lang w:val="en-US" w:eastAsia="zh-CN" w:bidi="ar"/>
        </w:rPr>
      </w:pPr>
      <w:r>
        <w:rPr>
          <w:rFonts w:hint="eastAsia"/>
          <w:lang w:val="en-US" w:eastAsia="zh-CN" w:bidi="ar"/>
        </w:rPr>
        <w:t>机构名称：广州农村商业银行股份有限公司</w:t>
      </w:r>
    </w:p>
    <w:p>
      <w:pPr>
        <w:spacing w:line="360" w:lineRule="auto"/>
        <w:ind w:firstLine="420" w:firstLineChars="200"/>
        <w:rPr>
          <w:rFonts w:hint="eastAsia"/>
          <w:lang w:val="en-US" w:eastAsia="zh-CN" w:bidi="ar"/>
        </w:rPr>
      </w:pPr>
      <w:r>
        <w:rPr>
          <w:rFonts w:hint="eastAsia"/>
          <w:lang w:val="en-US" w:eastAsia="zh-CN" w:bidi="ar"/>
        </w:rPr>
        <w:t>注册地址：广州市黄埔区映日路9号</w:t>
      </w:r>
    </w:p>
    <w:p>
      <w:pPr>
        <w:spacing w:line="360" w:lineRule="auto"/>
        <w:ind w:firstLine="420" w:firstLineChars="200"/>
        <w:rPr>
          <w:rFonts w:hint="eastAsia"/>
          <w:lang w:val="en-US" w:eastAsia="zh-CN" w:bidi="ar"/>
        </w:rPr>
      </w:pPr>
      <w:r>
        <w:rPr>
          <w:rFonts w:hint="eastAsia"/>
          <w:lang w:val="en-US" w:eastAsia="zh-CN" w:bidi="ar"/>
        </w:rPr>
        <w:t>官方网站：www.grcbank.com</w:t>
      </w:r>
    </w:p>
    <w:p>
      <w:pPr>
        <w:spacing w:line="360" w:lineRule="auto"/>
        <w:ind w:firstLine="420" w:firstLineChars="200"/>
        <w:rPr>
          <w:rFonts w:hint="eastAsia"/>
          <w:lang w:val="en-US" w:eastAsia="zh-CN" w:bidi="ar"/>
        </w:rPr>
      </w:pPr>
      <w:r>
        <w:rPr>
          <w:rFonts w:hint="eastAsia"/>
          <w:lang w:val="en-US" w:eastAsia="zh-CN" w:bidi="ar"/>
        </w:rPr>
        <w:t>客户服务热线：95313</w:t>
      </w:r>
    </w:p>
    <w:p>
      <w:pPr>
        <w:spacing w:line="360" w:lineRule="auto"/>
        <w:ind w:firstLine="420" w:firstLineChars="200"/>
        <w:rPr>
          <w:rFonts w:hint="eastAsia"/>
          <w:lang w:val="en-US" w:eastAsia="zh-CN" w:bidi="ar"/>
        </w:rPr>
      </w:pPr>
    </w:p>
    <w:p>
      <w:pPr>
        <w:spacing w:line="360" w:lineRule="auto"/>
        <w:ind w:firstLine="420" w:firstLineChars="200"/>
        <w:rPr>
          <w:rFonts w:hint="eastAsia"/>
          <w:lang w:val="en-US" w:eastAsia="zh-CN" w:bidi="ar"/>
        </w:rPr>
      </w:pPr>
      <w:r>
        <w:rPr>
          <w:rFonts w:hint="eastAsia"/>
          <w:lang w:val="en-US" w:eastAsia="zh-CN" w:bidi="ar"/>
        </w:rPr>
        <w:t>机构名称：上海浦东发展银行股份有限公司</w:t>
      </w:r>
    </w:p>
    <w:p>
      <w:pPr>
        <w:spacing w:line="360" w:lineRule="auto"/>
        <w:ind w:firstLine="420" w:firstLineChars="200"/>
        <w:rPr>
          <w:rFonts w:hint="eastAsia"/>
          <w:lang w:val="en-US" w:eastAsia="zh-CN" w:bidi="ar"/>
        </w:rPr>
      </w:pPr>
      <w:r>
        <w:rPr>
          <w:rFonts w:hint="eastAsia"/>
          <w:lang w:val="en-US" w:eastAsia="zh-CN" w:bidi="ar"/>
        </w:rPr>
        <w:t>注册地址：上海市中山东一路12号</w:t>
      </w:r>
    </w:p>
    <w:p>
      <w:pPr>
        <w:spacing w:line="360" w:lineRule="auto"/>
        <w:ind w:firstLine="420" w:firstLineChars="200"/>
        <w:rPr>
          <w:rFonts w:hint="eastAsia"/>
          <w:lang w:val="en-US" w:eastAsia="zh-CN" w:bidi="ar"/>
        </w:rPr>
      </w:pPr>
      <w:r>
        <w:rPr>
          <w:rFonts w:hint="eastAsia"/>
          <w:lang w:val="en-US" w:eastAsia="zh-CN" w:bidi="ar"/>
        </w:rPr>
        <w:t>官方网站：www.spdb.com.cn</w:t>
      </w:r>
    </w:p>
    <w:p>
      <w:pPr>
        <w:spacing w:line="360" w:lineRule="auto"/>
        <w:ind w:firstLine="420" w:firstLineChars="200"/>
        <w:rPr>
          <w:rFonts w:hint="eastAsia" w:eastAsia="宋体"/>
          <w:lang w:val="en-US" w:eastAsia="zh-CN" w:bidi="ar"/>
        </w:rPr>
      </w:pPr>
      <w:r>
        <w:rPr>
          <w:rFonts w:hint="eastAsia"/>
          <w:lang w:val="en-US" w:eastAsia="zh-CN" w:bidi="ar"/>
        </w:rPr>
        <w:t>客户服务热线：95528</w:t>
      </w:r>
      <w:r>
        <w:rPr>
          <w:lang w:bidi="ar"/>
        </w:rPr>
        <w:fldChar w:fldCharType="end"/>
      </w:r>
      <w:bookmarkEnd w:id="28"/>
    </w:p>
    <w:p>
      <w:pPr>
        <w:spacing w:line="360" w:lineRule="auto"/>
        <w:ind w:firstLine="420" w:firstLineChars="200"/>
        <w:rPr>
          <w:rFonts w:hint="eastAsia" w:eastAsia="宋体"/>
          <w:lang w:val="en-US" w:eastAsia="zh-CN" w:bidi="ar"/>
        </w:rPr>
      </w:pPr>
      <w:r>
        <w:rPr>
          <w:rFonts w:hint="eastAsia"/>
          <w:lang w:val="en-US" w:eastAsia="zh-CN" w:bidi="ar"/>
        </w:rPr>
        <w:t xml:space="preserve"> </w:t>
      </w:r>
    </w:p>
    <w:p>
      <w:pPr>
        <w:spacing w:line="360" w:lineRule="auto"/>
        <w:ind w:firstLine="422" w:firstLineChars="200"/>
        <w:rPr>
          <w:b/>
          <w:bCs/>
          <w:lang w:bidi="ar"/>
        </w:rPr>
      </w:pPr>
      <w:r>
        <w:rPr>
          <w:rFonts w:hint="eastAsia"/>
          <w:b/>
          <w:bCs/>
          <w:lang w:bidi="ar"/>
        </w:rPr>
        <w:fldChar w:fldCharType="begin">
          <w:ffData>
            <w:name w:val="Text47"/>
            <w:enabled/>
            <w:calcOnExit w:val="0"/>
            <w:textInput>
              <w:default w:val="代理销售机构如为管理人的关联方，管理人聘请其担任销售服务机构已履行了现行法律法规和监管规定所规定必须履行的程序，管理人、投资者同意并接受本理财产品由代理销售机构进行销售。"/>
            </w:textInput>
          </w:ffData>
        </w:fldChar>
      </w:r>
      <w:r>
        <w:rPr>
          <w:rFonts w:hint="eastAsia"/>
          <w:b/>
          <w:bCs/>
          <w:lang w:bidi="ar"/>
        </w:rPr>
        <w:instrText xml:space="preserve">FORMTEXT</w:instrText>
      </w:r>
      <w:r>
        <w:rPr>
          <w:rFonts w:hint="eastAsia"/>
          <w:b/>
          <w:bCs/>
          <w:lang w:bidi="ar"/>
        </w:rPr>
        <w:fldChar w:fldCharType="separate"/>
      </w:r>
      <w:r>
        <w:rPr>
          <w:rFonts w:hint="eastAsia"/>
          <w:b/>
          <w:bCs/>
          <w:lang w:bidi="ar"/>
        </w:rPr>
        <w:t>代理销售机构如为管理人的关联方，管理人聘请其担任销售服务机构已履行了现行法律法规和监管规定所规定必须履行的程序，管理人、投资者同意并接受本理财产品由代理销售机构进行销售。</w:t>
      </w:r>
      <w:r>
        <w:rPr>
          <w:rFonts w:hint="eastAsia"/>
          <w:b/>
          <w:bCs/>
          <w:lang w:bidi="ar"/>
        </w:rPr>
        <w:fldChar w:fldCharType="end"/>
      </w:r>
    </w:p>
    <w:p>
      <w:pPr>
        <w:spacing w:line="360" w:lineRule="auto"/>
        <w:ind w:firstLine="422" w:firstLineChars="200"/>
        <w:rPr>
          <w:b/>
          <w:bCs/>
          <w:lang w:bidi="ar"/>
        </w:rPr>
      </w:pPr>
      <w:r>
        <w:rPr>
          <w:b/>
          <w:bCs/>
          <w:lang w:bidi="ar"/>
        </w:rPr>
        <w:t>（二）</w:t>
      </w:r>
      <w:r>
        <w:rPr>
          <w:rFonts w:hint="eastAsia"/>
          <w:b/>
          <w:bCs/>
          <w:lang w:bidi="ar"/>
        </w:rPr>
        <w:t>代理销售机构</w:t>
      </w:r>
      <w:r>
        <w:rPr>
          <w:b/>
          <w:bCs/>
          <w:lang w:bidi="ar"/>
        </w:rPr>
        <w:t>职责</w:t>
      </w:r>
    </w:p>
    <w:p>
      <w:pPr>
        <w:spacing w:line="360" w:lineRule="auto"/>
        <w:ind w:firstLine="420" w:firstLineChars="200"/>
        <w:rPr>
          <w:lang w:bidi="ar"/>
        </w:rPr>
      </w:pPr>
      <w:r>
        <w:rPr>
          <w:lang w:bidi="ar"/>
        </w:rPr>
        <w:t>1.</w:t>
      </w:r>
      <w:r>
        <w:rPr>
          <w:rFonts w:hint="eastAsia"/>
          <w:lang w:bidi="ar"/>
        </w:rPr>
        <w:t xml:space="preserve"> 按照法律法规的要求</w:t>
      </w:r>
      <w:r>
        <w:rPr>
          <w:lang w:bidi="ar"/>
        </w:rPr>
        <w:t>宣传推介理财产品</w:t>
      </w:r>
      <w:r>
        <w:rPr>
          <w:rFonts w:hint="eastAsia"/>
          <w:lang w:bidi="ar"/>
        </w:rPr>
        <w:t>，</w:t>
      </w:r>
      <w:r>
        <w:rPr>
          <w:lang w:bidi="ar"/>
        </w:rPr>
        <w:t>提供理财产品投资建议；</w:t>
      </w:r>
    </w:p>
    <w:p>
      <w:pPr>
        <w:spacing w:line="360" w:lineRule="auto"/>
        <w:ind w:firstLine="420" w:firstLineChars="200"/>
        <w:rPr>
          <w:lang w:bidi="ar"/>
        </w:rPr>
      </w:pPr>
      <w:r>
        <w:rPr>
          <w:rFonts w:hint="eastAsia"/>
          <w:lang w:bidi="ar"/>
        </w:rPr>
        <w:t>2. 对代理销售的理财产品进行独立的风险评级；</w:t>
      </w:r>
    </w:p>
    <w:p>
      <w:pPr>
        <w:spacing w:line="360" w:lineRule="auto"/>
        <w:ind w:firstLine="420" w:firstLineChars="200"/>
        <w:rPr>
          <w:rFonts w:hint="eastAsia"/>
          <w:lang w:bidi="ar"/>
        </w:rPr>
      </w:pPr>
      <w:r>
        <w:rPr>
          <w:rFonts w:hint="eastAsia"/>
          <w:lang w:bidi="ar"/>
        </w:rPr>
        <w:t>3. 开展投资者风险承受能力等级评估，并持续进行评估。建立将投资者和理财产品进行匹配的方法，并根据投资者的风险承受能力向其销售不同风险等级的产品；</w:t>
      </w:r>
    </w:p>
    <w:p>
      <w:pPr>
        <w:spacing w:line="360" w:lineRule="auto"/>
        <w:ind w:firstLine="420" w:firstLineChars="200"/>
        <w:rPr>
          <w:rFonts w:hint="eastAsia"/>
          <w:lang w:bidi="ar"/>
        </w:rPr>
      </w:pPr>
      <w:r>
        <w:rPr>
          <w:rFonts w:hint="eastAsia"/>
          <w:lang w:bidi="ar"/>
        </w:rPr>
        <w:t>4. 协助投资者签订</w:t>
      </w:r>
      <w:r>
        <w:rPr>
          <w:lang w:bidi="ar"/>
        </w:rPr>
        <w:t>理财</w:t>
      </w:r>
      <w:r>
        <w:rPr>
          <w:rFonts w:hint="eastAsia"/>
          <w:lang w:bidi="ar"/>
        </w:rPr>
        <w:t>产品</w:t>
      </w:r>
      <w:r>
        <w:rPr>
          <w:lang w:bidi="ar"/>
        </w:rPr>
        <w:t>合同</w:t>
      </w:r>
      <w:r>
        <w:rPr>
          <w:rFonts w:hint="eastAsia"/>
          <w:lang w:bidi="ar"/>
        </w:rPr>
        <w:t>，办理理财产品的认购、赎回等交易申请；</w:t>
      </w:r>
    </w:p>
    <w:p>
      <w:pPr>
        <w:spacing w:line="360" w:lineRule="auto"/>
        <w:ind w:firstLine="420" w:firstLineChars="200"/>
        <w:rPr>
          <w:rFonts w:hint="eastAsia"/>
          <w:lang w:bidi="ar"/>
        </w:rPr>
      </w:pPr>
      <w:r>
        <w:rPr>
          <w:rFonts w:hint="eastAsia"/>
          <w:lang w:bidi="ar"/>
        </w:rPr>
        <w:t>5. 对投资者身份信息的真实性进行验证，并对投资者信息、交易数据及相关销售资料承担保密责任；</w:t>
      </w:r>
    </w:p>
    <w:p>
      <w:pPr>
        <w:spacing w:line="360" w:lineRule="auto"/>
        <w:ind w:firstLine="420" w:firstLineChars="200"/>
        <w:rPr>
          <w:rFonts w:hint="eastAsia"/>
          <w:lang w:bidi="ar"/>
        </w:rPr>
      </w:pPr>
      <w:r>
        <w:rPr>
          <w:rFonts w:hint="eastAsia"/>
          <w:lang w:bidi="ar"/>
        </w:rPr>
        <w:t>6. 根据法律法规规定、理财产品合同约定及管理人书面通知进行理财产品信息披露，并协助指导投资者通过理财产品合同约定的信息披露渠道查询披露内容；</w:t>
      </w:r>
    </w:p>
    <w:p>
      <w:pPr>
        <w:spacing w:line="360" w:lineRule="auto"/>
        <w:ind w:firstLine="420" w:firstLineChars="200"/>
        <w:rPr>
          <w:rFonts w:hint="eastAsia"/>
          <w:lang w:bidi="ar"/>
        </w:rPr>
      </w:pPr>
      <w:r>
        <w:rPr>
          <w:rFonts w:hint="eastAsia"/>
          <w:lang w:bidi="ar"/>
        </w:rPr>
        <w:t>7. 归集、划转理财产品销售结算资金，将赎回、分红及认购不成功的相应款项划入投资者认购时使用的银行账户，并与管理人建立每日对账机制；</w:t>
      </w:r>
    </w:p>
    <w:p>
      <w:pPr>
        <w:spacing w:line="360" w:lineRule="auto"/>
        <w:ind w:firstLine="420" w:firstLineChars="200"/>
        <w:rPr>
          <w:rFonts w:hint="eastAsia"/>
          <w:lang w:bidi="ar"/>
        </w:rPr>
      </w:pPr>
      <w:r>
        <w:rPr>
          <w:rFonts w:hint="eastAsia"/>
          <w:lang w:bidi="ar"/>
        </w:rPr>
        <w:t>8. 代理销售公募理财产品存续期内，至少每月向投资者提供其所持有的理财产品账单；</w:t>
      </w:r>
    </w:p>
    <w:p>
      <w:pPr>
        <w:spacing w:line="360" w:lineRule="auto"/>
        <w:ind w:firstLine="420" w:firstLineChars="200"/>
        <w:rPr>
          <w:rFonts w:hint="eastAsia"/>
          <w:lang w:bidi="ar"/>
        </w:rPr>
      </w:pPr>
      <w:r>
        <w:rPr>
          <w:rFonts w:hint="eastAsia"/>
          <w:lang w:bidi="ar"/>
        </w:rPr>
        <w:t>9. 持续向投资者提供信息服务；</w:t>
      </w:r>
    </w:p>
    <w:p>
      <w:pPr>
        <w:spacing w:line="360" w:lineRule="auto"/>
        <w:ind w:firstLine="420" w:firstLineChars="200"/>
        <w:rPr>
          <w:rFonts w:hint="eastAsia"/>
          <w:lang w:bidi="ar"/>
        </w:rPr>
      </w:pPr>
      <w:r>
        <w:rPr>
          <w:rFonts w:hint="eastAsia"/>
          <w:lang w:bidi="ar"/>
        </w:rPr>
        <w:t>10. 完整记录和保存销售业务活动信息，确保记录信息全面、准确和不可篡改；</w:t>
      </w:r>
    </w:p>
    <w:p>
      <w:pPr>
        <w:spacing w:line="360" w:lineRule="auto"/>
        <w:ind w:firstLine="420" w:firstLineChars="200"/>
        <w:rPr>
          <w:rFonts w:hint="eastAsia"/>
          <w:lang w:bidi="ar"/>
        </w:rPr>
      </w:pPr>
      <w:r>
        <w:rPr>
          <w:rFonts w:hint="eastAsia"/>
          <w:lang w:bidi="ar"/>
        </w:rPr>
        <w:t>11. 妥善保管投资者理财产品销售相关资料，保管年限不得低于20年；</w:t>
      </w:r>
    </w:p>
    <w:p>
      <w:pPr>
        <w:spacing w:line="360" w:lineRule="auto"/>
        <w:ind w:firstLine="420" w:firstLineChars="200"/>
        <w:rPr>
          <w:rFonts w:hint="eastAsia"/>
          <w:lang w:bidi="ar"/>
        </w:rPr>
      </w:pPr>
      <w:r>
        <w:rPr>
          <w:rFonts w:hint="eastAsia"/>
          <w:lang w:bidi="ar"/>
        </w:rPr>
        <w:t>12. 妥善处理理财产品销售业务中的投资者投诉、突发事件和其他重大风险事件；</w:t>
      </w:r>
    </w:p>
    <w:p>
      <w:pPr>
        <w:spacing w:line="360" w:lineRule="auto"/>
        <w:ind w:firstLine="420" w:firstLineChars="200"/>
        <w:rPr>
          <w:rFonts w:hint="eastAsia"/>
          <w:lang w:bidi="ar"/>
        </w:rPr>
      </w:pPr>
      <w:r>
        <w:rPr>
          <w:rFonts w:hint="eastAsia"/>
          <w:lang w:bidi="ar"/>
        </w:rPr>
        <w:t>13. 根据反洗钱、反恐怖融资及非居民金融账户涉税信息尽职调查等相关法律法规要求识别客户身份。配合管理人开展反洗钱、反恐怖融资及非居民金融账户涉税信息尽职调查等工作，并向管理人提供投资者身份信息及法律法规规定的其他信息；</w:t>
      </w:r>
    </w:p>
    <w:p>
      <w:pPr>
        <w:spacing w:line="360" w:lineRule="auto"/>
        <w:ind w:firstLine="420" w:firstLineChars="200"/>
        <w:rPr>
          <w:rFonts w:hint="eastAsia"/>
          <w:lang w:bidi="ar"/>
        </w:rPr>
      </w:pPr>
      <w:r>
        <w:rPr>
          <w:rFonts w:hint="eastAsia"/>
          <w:lang w:bidi="ar"/>
        </w:rPr>
        <w:t>14. 充分利用科技手段，加强对伪冒网站、伪冒产品等监测，有效防范各类欺诈风险，并与管理人建立联防联控的反欺诈体系，共同承担反欺诈的责任；</w:t>
      </w:r>
    </w:p>
    <w:p>
      <w:pPr>
        <w:spacing w:line="360" w:lineRule="auto"/>
        <w:ind w:firstLine="420" w:firstLineChars="200"/>
        <w:rPr>
          <w:rFonts w:hint="eastAsia"/>
          <w:lang w:bidi="ar"/>
        </w:rPr>
      </w:pPr>
      <w:r>
        <w:rPr>
          <w:rFonts w:hint="eastAsia"/>
          <w:lang w:bidi="ar"/>
        </w:rPr>
        <w:t xml:space="preserve">15. </w:t>
      </w:r>
      <w:r>
        <w:rPr>
          <w:lang w:bidi="ar"/>
        </w:rPr>
        <w:t>国务院银行业监督管理机构规定的其他职责。</w:t>
      </w:r>
    </w:p>
    <w:p>
      <w:pPr>
        <w:spacing w:line="360" w:lineRule="auto"/>
        <w:rPr>
          <w:b/>
          <w:bCs/>
          <w:lang w:bidi="ar"/>
        </w:rPr>
      </w:pPr>
    </w:p>
    <w:p>
      <w:pPr>
        <w:autoSpaceDE w:val="0"/>
        <w:autoSpaceDN w:val="0"/>
        <w:adjustRightInd w:val="0"/>
        <w:spacing w:line="360" w:lineRule="auto"/>
        <w:rPr>
          <w:b/>
          <w:bCs/>
          <w:color w:val="000000"/>
          <w:kern w:val="0"/>
        </w:rPr>
      </w:pPr>
      <w:r>
        <w:rPr>
          <w:rFonts w:hint="eastAsia"/>
          <w:b/>
          <w:bCs/>
          <w:color w:val="000000"/>
          <w:kern w:val="0"/>
        </w:rPr>
        <w:t>六</w:t>
      </w:r>
      <w:r>
        <w:rPr>
          <w:b/>
          <w:bCs/>
          <w:color w:val="000000"/>
          <w:kern w:val="0"/>
        </w:rPr>
        <w:t>、理财产品认购</w:t>
      </w:r>
      <w:r>
        <w:rPr>
          <w:rFonts w:hint="eastAsia"/>
          <w:b/>
          <w:bCs/>
          <w:color w:val="000000"/>
          <w:kern w:val="0"/>
        </w:rPr>
        <w:t>和赎回</w:t>
      </w:r>
    </w:p>
    <w:p>
      <w:pPr>
        <w:autoSpaceDE w:val="0"/>
        <w:autoSpaceDN w:val="0"/>
        <w:adjustRightInd w:val="0"/>
        <w:spacing w:line="360" w:lineRule="auto"/>
        <w:ind w:firstLine="420" w:firstLineChars="200"/>
        <w:rPr>
          <w:bCs/>
          <w:color w:val="000000"/>
          <w:kern w:val="0"/>
          <w:szCs w:val="21"/>
        </w:rPr>
      </w:pPr>
      <w:r>
        <w:rPr>
          <w:bCs/>
          <w:color w:val="000000"/>
          <w:kern w:val="0"/>
          <w:szCs w:val="21"/>
        </w:rPr>
        <w:t>理财产品认购是指在理财产品募集期内，投资者申请购买本理财产品份额的行为。管理人有权根据产品募集情况提前结束或延长募集期并相应调整产品成立日。</w:t>
      </w:r>
    </w:p>
    <w:p>
      <w:pPr>
        <w:autoSpaceDE w:val="0"/>
        <w:autoSpaceDN w:val="0"/>
        <w:adjustRightInd w:val="0"/>
        <w:spacing w:line="360" w:lineRule="auto"/>
        <w:ind w:firstLine="422" w:firstLineChars="200"/>
        <w:rPr>
          <w:b/>
          <w:color w:val="000000"/>
          <w:kern w:val="0"/>
          <w:szCs w:val="21"/>
        </w:rPr>
      </w:pPr>
      <w:r>
        <w:rPr>
          <w:b/>
          <w:color w:val="000000"/>
          <w:kern w:val="0"/>
          <w:szCs w:val="21"/>
        </w:rPr>
        <w:t>（一）认购渠道</w:t>
      </w:r>
    </w:p>
    <w:p>
      <w:pPr>
        <w:autoSpaceDE w:val="0"/>
        <w:autoSpaceDN w:val="0"/>
        <w:adjustRightInd w:val="0"/>
        <w:spacing w:line="360" w:lineRule="auto"/>
        <w:ind w:firstLine="420" w:firstLineChars="200"/>
        <w:rPr>
          <w:bCs/>
          <w:color w:val="000000"/>
          <w:kern w:val="0"/>
          <w:szCs w:val="21"/>
        </w:rPr>
      </w:pPr>
      <w:r>
        <w:rPr>
          <w:bCs/>
          <w:color w:val="000000"/>
          <w:kern w:val="0"/>
          <w:szCs w:val="21"/>
        </w:rPr>
        <w:t>在理财产品募集期内，投资者可以通过</w:t>
      </w:r>
      <w:r>
        <w:rPr>
          <w:rFonts w:hint="eastAsia"/>
          <w:bCs/>
          <w:color w:val="000000"/>
          <w:kern w:val="0"/>
          <w:szCs w:val="21"/>
        </w:rPr>
        <w:t>管理人</w:t>
      </w:r>
      <w:r>
        <w:rPr>
          <w:bCs/>
          <w:color w:val="000000"/>
          <w:kern w:val="0"/>
          <w:szCs w:val="21"/>
        </w:rPr>
        <w:t>或</w:t>
      </w:r>
      <w:r>
        <w:rPr>
          <w:rFonts w:hint="eastAsia"/>
          <w:bCs/>
          <w:color w:val="000000"/>
          <w:kern w:val="0"/>
          <w:szCs w:val="21"/>
        </w:rPr>
        <w:t>代理销售机构</w:t>
      </w:r>
      <w:r>
        <w:rPr>
          <w:bCs/>
          <w:color w:val="000000"/>
          <w:kern w:val="0"/>
          <w:szCs w:val="21"/>
        </w:rPr>
        <w:t>的营业网点、电子渠道或监管机构认可的其他销售渠道认购本理财产品，</w:t>
      </w:r>
      <w:r>
        <w:rPr>
          <w:b/>
          <w:color w:val="000000"/>
          <w:kern w:val="0"/>
          <w:szCs w:val="21"/>
        </w:rPr>
        <w:t>办理流程详见</w:t>
      </w:r>
      <w:r>
        <w:rPr>
          <w:rFonts w:hint="eastAsia"/>
          <w:b/>
          <w:color w:val="000000"/>
          <w:kern w:val="0"/>
          <w:szCs w:val="21"/>
        </w:rPr>
        <w:t>“</w:t>
      </w:r>
      <w:r>
        <w:rPr>
          <w:b/>
          <w:color w:val="000000"/>
          <w:kern w:val="0"/>
          <w:szCs w:val="21"/>
        </w:rPr>
        <w:t>投资者权益须知</w:t>
      </w:r>
      <w:r>
        <w:rPr>
          <w:rFonts w:hint="eastAsia"/>
          <w:b/>
          <w:color w:val="000000"/>
          <w:kern w:val="0"/>
          <w:szCs w:val="21"/>
        </w:rPr>
        <w:t>”</w:t>
      </w:r>
      <w:r>
        <w:rPr>
          <w:b/>
          <w:color w:val="000000"/>
          <w:kern w:val="0"/>
          <w:szCs w:val="21"/>
        </w:rPr>
        <w:t>。</w:t>
      </w:r>
    </w:p>
    <w:p>
      <w:pPr>
        <w:autoSpaceDE w:val="0"/>
        <w:autoSpaceDN w:val="0"/>
        <w:adjustRightInd w:val="0"/>
        <w:spacing w:line="360" w:lineRule="auto"/>
        <w:ind w:firstLine="422" w:firstLineChars="200"/>
        <w:rPr>
          <w:b/>
          <w:color w:val="000000"/>
          <w:kern w:val="0"/>
          <w:szCs w:val="21"/>
        </w:rPr>
      </w:pPr>
      <w:r>
        <w:rPr>
          <w:b/>
          <w:color w:val="000000"/>
          <w:kern w:val="0"/>
          <w:szCs w:val="21"/>
        </w:rPr>
        <w:t>（二）认购受理和确认</w:t>
      </w:r>
    </w:p>
    <w:p>
      <w:pPr>
        <w:autoSpaceDE w:val="0"/>
        <w:autoSpaceDN w:val="0"/>
        <w:adjustRightInd w:val="0"/>
        <w:spacing w:line="360" w:lineRule="auto"/>
        <w:ind w:firstLine="422" w:firstLineChars="200"/>
        <w:rPr>
          <w:b/>
          <w:kern w:val="0"/>
        </w:rPr>
      </w:pPr>
      <w:r>
        <w:rPr>
          <w:b/>
          <w:color w:val="000000"/>
          <w:kern w:val="0"/>
          <w:szCs w:val="21"/>
        </w:rPr>
        <w:t>投资者可在募集期内认购本理财产品，认购资金将被冻结。</w:t>
      </w:r>
    </w:p>
    <w:p>
      <w:pPr>
        <w:autoSpaceDE w:val="0"/>
        <w:autoSpaceDN w:val="0"/>
        <w:adjustRightInd w:val="0"/>
        <w:spacing w:line="360" w:lineRule="auto"/>
        <w:ind w:firstLine="420" w:firstLineChars="200"/>
        <w:rPr>
          <w:bCs/>
          <w:color w:val="000000"/>
          <w:kern w:val="0"/>
          <w:szCs w:val="21"/>
        </w:rPr>
      </w:pPr>
      <w:r>
        <w:rPr>
          <w:bCs/>
          <w:color w:val="000000"/>
          <w:kern w:val="0"/>
          <w:szCs w:val="21"/>
        </w:rPr>
        <w:t>管理人在理财产品成立日确认投资者的认购申请是否成功，并判定理财产品是否成立。如理财产品顺利成立且投资者认购成功，则在成立日确认投资者认购份额。认购资金在</w:t>
      </w:r>
      <w:bookmarkStart w:id="29" w:name="Text69"/>
      <w:r>
        <w:rPr>
          <w:bCs/>
          <w:color w:val="000000"/>
          <w:kern w:val="0"/>
          <w:szCs w:val="21"/>
        </w:rPr>
        <w:fldChar w:fldCharType="begin">
          <w:ffData>
            <w:name w:val="Text69"/>
            <w:enabled/>
            <w:calcOnExit w:val="0"/>
            <w:textInput>
              <w:default w:val="成立日"/>
            </w:textInput>
          </w:ffData>
        </w:fldChar>
      </w:r>
      <w:r>
        <w:rPr>
          <w:bCs/>
          <w:color w:val="000000"/>
          <w:kern w:val="0"/>
          <w:szCs w:val="21"/>
        </w:rPr>
        <w:instrText xml:space="preserve">FORMTEXT</w:instrText>
      </w:r>
      <w:r>
        <w:rPr>
          <w:bCs/>
          <w:color w:val="000000"/>
          <w:kern w:val="0"/>
          <w:szCs w:val="21"/>
        </w:rPr>
        <w:fldChar w:fldCharType="separate"/>
      </w:r>
      <w:r>
        <w:rPr>
          <w:bCs/>
          <w:color w:val="000000"/>
          <w:kern w:val="0"/>
          <w:szCs w:val="21"/>
        </w:rPr>
        <w:t>成立日</w:t>
      </w:r>
      <w:r>
        <w:rPr>
          <w:bCs/>
          <w:color w:val="000000"/>
          <w:kern w:val="0"/>
          <w:szCs w:val="21"/>
        </w:rPr>
        <w:fldChar w:fldCharType="end"/>
      </w:r>
      <w:bookmarkEnd w:id="29"/>
      <w:r>
        <w:rPr>
          <w:bCs/>
          <w:color w:val="000000"/>
          <w:kern w:val="0"/>
          <w:szCs w:val="21"/>
        </w:rPr>
        <w:t>完成扣款</w:t>
      </w:r>
      <w:r>
        <w:rPr>
          <w:rFonts w:hint="eastAsia"/>
          <w:bCs/>
          <w:color w:val="000000"/>
          <w:kern w:val="0"/>
          <w:szCs w:val="21"/>
          <w:highlight w:val="none"/>
          <w:lang w:eastAsia="zh-CN"/>
        </w:rPr>
        <w:t>（</w:t>
      </w:r>
      <w:r>
        <w:rPr>
          <w:rFonts w:hint="eastAsia"/>
          <w:bCs/>
          <w:color w:val="000000"/>
          <w:kern w:val="0"/>
          <w:szCs w:val="21"/>
          <w:highlight w:val="none"/>
          <w:lang w:val="en-US" w:eastAsia="zh-CN"/>
        </w:rPr>
        <w:t>代理销售机构的扣款规则可能与产品说明书不一致，具体以代理销售机构为准）</w:t>
      </w:r>
      <w:r>
        <w:rPr>
          <w:bCs/>
          <w:color w:val="000000"/>
          <w:kern w:val="0"/>
          <w:szCs w:val="21"/>
        </w:rPr>
        <w:t>。</w:t>
      </w:r>
      <w:r>
        <w:rPr>
          <w:b/>
          <w:color w:val="000000"/>
          <w:kern w:val="0"/>
          <w:szCs w:val="21"/>
        </w:rPr>
        <w:t>如理财产品成立失败或投资者认购失败，则认购资金将在</w:t>
      </w:r>
      <w:r>
        <w:rPr>
          <w:rFonts w:hint="eastAsia"/>
          <w:b/>
          <w:color w:val="000000"/>
          <w:kern w:val="0"/>
          <w:szCs w:val="21"/>
        </w:rPr>
        <w:t>3个交易日</w:t>
      </w:r>
      <w:r>
        <w:rPr>
          <w:b/>
          <w:color w:val="000000"/>
          <w:kern w:val="0"/>
          <w:szCs w:val="21"/>
        </w:rPr>
        <w:t>内解除冻结或原路退还给投资者</w:t>
      </w:r>
      <w:r>
        <w:rPr>
          <w:rFonts w:hint="eastAsia"/>
          <w:b/>
          <w:color w:val="000000"/>
          <w:kern w:val="0"/>
          <w:szCs w:val="21"/>
        </w:rPr>
        <w:t>，如产生活期存款利息，一并加计</w:t>
      </w:r>
      <w:r>
        <w:rPr>
          <w:rFonts w:hint="eastAsia" w:ascii="Times New Roman" w:hAnsi="Times New Roman" w:cs="Times New Roman"/>
          <w:b/>
          <w:bCs w:val="0"/>
          <w:color w:val="000000"/>
          <w:kern w:val="0"/>
          <w:szCs w:val="21"/>
          <w:highlight w:val="none"/>
          <w:lang w:val="en-US" w:eastAsia="zh-CN"/>
        </w:rPr>
        <w:t>（具体以代理销售机构为准）</w:t>
      </w:r>
      <w:r>
        <w:rPr>
          <w:b/>
          <w:color w:val="000000"/>
          <w:kern w:val="0"/>
          <w:szCs w:val="21"/>
        </w:rPr>
        <w:t>。</w:t>
      </w:r>
    </w:p>
    <w:p>
      <w:pPr>
        <w:autoSpaceDE w:val="0"/>
        <w:autoSpaceDN w:val="0"/>
        <w:adjustRightInd w:val="0"/>
        <w:spacing w:line="360" w:lineRule="auto"/>
        <w:ind w:firstLine="422" w:firstLineChars="200"/>
        <w:rPr>
          <w:b/>
          <w:color w:val="000000"/>
          <w:kern w:val="0"/>
          <w:szCs w:val="21"/>
        </w:rPr>
      </w:pPr>
      <w:r>
        <w:rPr>
          <w:b/>
          <w:color w:val="000000"/>
          <w:kern w:val="0"/>
          <w:szCs w:val="21"/>
        </w:rPr>
        <w:t>（三）认购份额的计算</w:t>
      </w:r>
    </w:p>
    <w:p>
      <w:pPr>
        <w:autoSpaceDE w:val="0"/>
        <w:autoSpaceDN w:val="0"/>
        <w:adjustRightInd w:val="0"/>
        <w:spacing w:line="360" w:lineRule="auto"/>
        <w:ind w:firstLine="420" w:firstLineChars="200"/>
        <w:rPr>
          <w:bCs/>
          <w:color w:val="000000"/>
          <w:kern w:val="0"/>
          <w:szCs w:val="21"/>
        </w:rPr>
      </w:pPr>
      <w:r>
        <w:rPr>
          <w:bCs/>
          <w:color w:val="000000"/>
          <w:kern w:val="0"/>
          <w:szCs w:val="21"/>
        </w:rPr>
        <w:t>本理财产品采用金额认购的方法，认购份额的计算</w:t>
      </w:r>
      <w:r>
        <w:rPr>
          <w:rFonts w:hint="eastAsia"/>
          <w:bCs/>
          <w:color w:val="000000"/>
          <w:kern w:val="0"/>
          <w:szCs w:val="21"/>
        </w:rPr>
        <w:t>公式</w:t>
      </w:r>
      <w:r>
        <w:rPr>
          <w:bCs/>
          <w:color w:val="000000"/>
          <w:kern w:val="0"/>
          <w:szCs w:val="21"/>
        </w:rPr>
        <w:t>如下：</w:t>
      </w:r>
    </w:p>
    <w:p>
      <w:pPr>
        <w:autoSpaceDE w:val="0"/>
        <w:autoSpaceDN w:val="0"/>
        <w:adjustRightInd w:val="0"/>
        <w:spacing w:line="360" w:lineRule="auto"/>
        <w:ind w:firstLine="420" w:firstLineChars="200"/>
        <w:rPr>
          <w:bCs/>
          <w:color w:val="000000"/>
          <w:kern w:val="0"/>
          <w:szCs w:val="21"/>
        </w:rPr>
      </w:pPr>
      <w:r>
        <w:rPr>
          <w:bCs/>
          <w:color w:val="000000"/>
          <w:kern w:val="0"/>
          <w:szCs w:val="21"/>
        </w:rPr>
        <w:t>认购份额＝认购金额/理财产品发行面值</w:t>
      </w:r>
    </w:p>
    <w:p>
      <w:pPr>
        <w:autoSpaceDE w:val="0"/>
        <w:autoSpaceDN w:val="0"/>
        <w:adjustRightInd w:val="0"/>
        <w:spacing w:line="360" w:lineRule="auto"/>
        <w:ind w:firstLine="420" w:firstLineChars="200"/>
        <w:rPr>
          <w:szCs w:val="21"/>
        </w:rPr>
      </w:pPr>
      <w:r>
        <w:rPr>
          <w:bCs/>
          <w:color w:val="000000"/>
          <w:kern w:val="0"/>
          <w:szCs w:val="21"/>
        </w:rPr>
        <w:t>本理财产品的发行面值为人民币1.00元</w:t>
      </w:r>
      <w:r>
        <w:rPr>
          <w:b/>
          <w:bCs/>
          <w:szCs w:val="21"/>
        </w:rPr>
        <w:t>。</w:t>
      </w:r>
    </w:p>
    <w:p>
      <w:pPr>
        <w:autoSpaceDE w:val="0"/>
        <w:autoSpaceDN w:val="0"/>
        <w:adjustRightInd w:val="0"/>
        <w:spacing w:line="360" w:lineRule="auto"/>
        <w:ind w:firstLine="422" w:firstLineChars="200"/>
        <w:rPr>
          <w:b/>
          <w:color w:val="000000"/>
          <w:kern w:val="0"/>
          <w:szCs w:val="21"/>
        </w:rPr>
      </w:pPr>
      <w:r>
        <w:rPr>
          <w:b/>
          <w:color w:val="000000"/>
          <w:kern w:val="0"/>
          <w:szCs w:val="21"/>
        </w:rPr>
        <w:t>（四）募集期的利息计算</w:t>
      </w:r>
    </w:p>
    <w:p>
      <w:pPr>
        <w:autoSpaceDE w:val="0"/>
        <w:autoSpaceDN w:val="0"/>
        <w:adjustRightInd w:val="0"/>
        <w:spacing w:line="360" w:lineRule="auto"/>
        <w:ind w:firstLine="422" w:firstLineChars="200"/>
        <w:rPr>
          <w:b/>
          <w:bCs/>
          <w:kern w:val="0"/>
        </w:rPr>
      </w:pPr>
      <w:r>
        <w:rPr>
          <w:b/>
          <w:bCs/>
          <w:szCs w:val="21"/>
        </w:rPr>
        <w:t>认购资金自投资者认购之日起至</w:t>
      </w:r>
      <w:bookmarkStart w:id="30" w:name="Text109"/>
      <w:r>
        <w:rPr>
          <w:b/>
          <w:bCs/>
          <w:kern w:val="44"/>
          <w:szCs w:val="24"/>
        </w:rPr>
        <w:fldChar w:fldCharType="begin">
          <w:ffData>
            <w:name w:val="Text109"/>
            <w:enabled/>
            <w:calcOnExit w:val="0"/>
            <w:textInput>
              <w:default w:val="成立日前一日"/>
            </w:textInput>
          </w:ffData>
        </w:fldChar>
      </w:r>
      <w:r>
        <w:rPr>
          <w:b/>
          <w:bCs/>
          <w:kern w:val="44"/>
          <w:szCs w:val="24"/>
        </w:rPr>
        <w:instrText xml:space="preserve">FORMTEXT</w:instrText>
      </w:r>
      <w:r>
        <w:rPr>
          <w:b/>
          <w:bCs/>
          <w:kern w:val="44"/>
          <w:szCs w:val="24"/>
        </w:rPr>
        <w:fldChar w:fldCharType="separate"/>
      </w:r>
      <w:r>
        <w:rPr>
          <w:b/>
          <w:bCs/>
          <w:kern w:val="44"/>
          <w:szCs w:val="24"/>
        </w:rPr>
        <w:t>成立日前一日</w:t>
      </w:r>
      <w:r>
        <w:rPr>
          <w:b/>
          <w:bCs/>
          <w:kern w:val="44"/>
          <w:szCs w:val="24"/>
        </w:rPr>
        <w:fldChar w:fldCharType="end"/>
      </w:r>
      <w:bookmarkEnd w:id="30"/>
      <w:r>
        <w:rPr>
          <w:b/>
          <w:bCs/>
          <w:szCs w:val="21"/>
        </w:rPr>
        <w:t>将被冻结</w:t>
      </w:r>
      <w:r>
        <w:rPr>
          <w:rFonts w:hint="eastAsia"/>
          <w:b/>
          <w:bCs/>
          <w:szCs w:val="21"/>
          <w:highlight w:val="none"/>
          <w:lang w:eastAsia="zh-CN"/>
        </w:rPr>
        <w:t>（</w:t>
      </w:r>
      <w:r>
        <w:rPr>
          <w:rFonts w:hint="eastAsia"/>
          <w:b/>
          <w:bCs/>
          <w:szCs w:val="21"/>
          <w:highlight w:val="none"/>
          <w:lang w:val="en-US" w:eastAsia="zh-CN"/>
        </w:rPr>
        <w:t>代理销售机构的冻结规则可能与产品说明书不一致，具体以代理销售机构为准）</w:t>
      </w:r>
      <w:r>
        <w:rPr>
          <w:b/>
          <w:bCs/>
          <w:szCs w:val="21"/>
        </w:rPr>
        <w:t>。</w:t>
      </w:r>
      <w:r>
        <w:rPr>
          <w:b/>
          <w:bCs/>
          <w:kern w:val="0"/>
        </w:rPr>
        <w:t>在冻结期间交易账户内的认购资金</w:t>
      </w:r>
      <w:bookmarkStart w:id="31" w:name="Text72"/>
      <w:r>
        <w:rPr>
          <w:rFonts w:hint="default"/>
          <w:b/>
          <w:bCs/>
          <w:kern w:val="0"/>
          <w:highlight w:val="none"/>
        </w:rPr>
        <w:fldChar w:fldCharType="begin">
          <w:ffData>
            <w:name w:val="Text72"/>
            <w:enabled/>
            <w:calcOnExit w:val="0"/>
            <w:textInput>
              <w:default w:val="如产生活期存款利息，将按人民币活期存款利率计息（具体以代理销售机构为准），"/>
            </w:textInput>
          </w:ffData>
        </w:fldChar>
      </w:r>
      <w:r>
        <w:rPr>
          <w:rFonts w:hint="default"/>
          <w:b/>
          <w:bCs/>
          <w:kern w:val="0"/>
          <w:highlight w:val="none"/>
        </w:rPr>
        <w:instrText xml:space="preserve">FORMTEXT</w:instrText>
      </w:r>
      <w:r>
        <w:rPr>
          <w:rFonts w:hint="default"/>
          <w:b/>
          <w:bCs/>
          <w:kern w:val="0"/>
          <w:highlight w:val="none"/>
        </w:rPr>
        <w:fldChar w:fldCharType="separate"/>
      </w:r>
      <w:r>
        <w:rPr>
          <w:rFonts w:hint="default"/>
          <w:b/>
          <w:bCs/>
          <w:kern w:val="0"/>
          <w:highlight w:val="none"/>
        </w:rPr>
        <w:t>如产生活期存款利息，将按人民币活期存款利率计息（具体以代理销售机构为准），</w:t>
      </w:r>
      <w:r>
        <w:rPr>
          <w:rFonts w:hint="default"/>
          <w:b/>
          <w:bCs/>
          <w:kern w:val="0"/>
          <w:highlight w:val="none"/>
        </w:rPr>
        <w:fldChar w:fldCharType="end"/>
      </w:r>
      <w:bookmarkEnd w:id="31"/>
      <w:r>
        <w:rPr>
          <w:rFonts w:hint="default"/>
          <w:b/>
          <w:bCs/>
          <w:kern w:val="0"/>
          <w:highlight w:val="none"/>
        </w:rPr>
        <w:fldChar w:fldCharType="begin">
          <w:ffData>
            <w:name w:val="Text72"/>
            <w:enabled/>
            <w:calcOnExit w:val="0"/>
            <w:textInput>
              <w:default w:val="前述利息不参与本理财产品的投资"/>
            </w:textInput>
          </w:ffData>
        </w:fldChar>
      </w:r>
      <w:r>
        <w:rPr>
          <w:rFonts w:hint="default"/>
          <w:b/>
          <w:bCs/>
          <w:kern w:val="0"/>
          <w:highlight w:val="none"/>
        </w:rPr>
        <w:instrText xml:space="preserve">FORMTEXT</w:instrText>
      </w:r>
      <w:r>
        <w:rPr>
          <w:rFonts w:hint="default"/>
          <w:b/>
          <w:bCs/>
          <w:kern w:val="0"/>
          <w:highlight w:val="none"/>
        </w:rPr>
        <w:fldChar w:fldCharType="separate"/>
      </w:r>
      <w:r>
        <w:rPr>
          <w:rFonts w:hint="default"/>
          <w:b/>
          <w:bCs/>
          <w:kern w:val="0"/>
          <w:highlight w:val="none"/>
        </w:rPr>
        <w:t>前述利息不参与本理财产品的投资</w:t>
      </w:r>
      <w:r>
        <w:rPr>
          <w:rFonts w:hint="default"/>
          <w:b/>
          <w:bCs/>
          <w:kern w:val="0"/>
          <w:highlight w:val="none"/>
        </w:rPr>
        <w:fldChar w:fldCharType="end"/>
      </w:r>
      <w:r>
        <w:rPr>
          <w:b/>
          <w:bCs/>
          <w:kern w:val="0"/>
        </w:rPr>
        <w:t>。</w:t>
      </w:r>
    </w:p>
    <w:p>
      <w:pPr>
        <w:autoSpaceDE w:val="0"/>
        <w:autoSpaceDN w:val="0"/>
        <w:adjustRightInd w:val="0"/>
        <w:spacing w:line="360" w:lineRule="auto"/>
        <w:ind w:firstLine="422" w:firstLineChars="200"/>
        <w:rPr>
          <w:b/>
          <w:bCs/>
          <w:kern w:val="0"/>
        </w:rPr>
      </w:pPr>
      <w:r>
        <w:rPr>
          <w:b/>
          <w:bCs/>
          <w:kern w:val="0"/>
        </w:rPr>
        <w:t>（五）认购申请撤单</w:t>
      </w:r>
    </w:p>
    <w:p>
      <w:pPr>
        <w:autoSpaceDE w:val="0"/>
        <w:autoSpaceDN w:val="0"/>
        <w:adjustRightInd w:val="0"/>
        <w:spacing w:line="360" w:lineRule="auto"/>
        <w:ind w:firstLine="420" w:firstLineChars="200"/>
        <w:rPr>
          <w:b/>
          <w:bCs/>
          <w:kern w:val="0"/>
        </w:rPr>
      </w:pPr>
      <w:r>
        <w:rPr>
          <w:kern w:val="0"/>
        </w:rPr>
        <w:t>投资者在募集期内的认购申请可以在</w:t>
      </w:r>
      <w:bookmarkStart w:id="32" w:name="Text24"/>
      <w:r>
        <w:rPr>
          <w:kern w:val="0"/>
        </w:rPr>
        <w:fldChar w:fldCharType="begin">
          <w:ffData>
            <w:name w:val="Text24"/>
            <w:enabled/>
            <w:calcOnExit w:val="0"/>
            <w:textInput>
              <w:default w:val="募集期截止日17：00（不含）"/>
            </w:textInput>
          </w:ffData>
        </w:fldChar>
      </w:r>
      <w:r>
        <w:rPr>
          <w:kern w:val="0"/>
        </w:rPr>
        <w:instrText xml:space="preserve">FORMTEXT</w:instrText>
      </w:r>
      <w:r>
        <w:rPr>
          <w:kern w:val="0"/>
        </w:rPr>
        <w:fldChar w:fldCharType="separate"/>
      </w:r>
      <w:r>
        <w:rPr>
          <w:kern w:val="0"/>
        </w:rPr>
        <w:t>募集期截止日17</w:t>
      </w:r>
      <w:r>
        <w:rPr>
          <w:rFonts w:hint="eastAsia"/>
          <w:kern w:val="0"/>
        </w:rPr>
        <w:t>:</w:t>
      </w:r>
      <w:r>
        <w:rPr>
          <w:kern w:val="0"/>
        </w:rPr>
        <w:t>00（不含）</w:t>
      </w:r>
      <w:r>
        <w:rPr>
          <w:kern w:val="0"/>
        </w:rPr>
        <w:fldChar w:fldCharType="end"/>
      </w:r>
      <w:bookmarkEnd w:id="32"/>
      <w:r>
        <w:rPr>
          <w:kern w:val="0"/>
        </w:rPr>
        <w:t>前撤单，</w:t>
      </w:r>
      <w:r>
        <w:rPr>
          <w:b/>
          <w:bCs/>
          <w:kern w:val="0"/>
        </w:rPr>
        <w:t>产品成立日当天无法提交产品认购申请和认购申请撤单。</w:t>
      </w:r>
      <w:r>
        <w:rPr>
          <w:b/>
          <w:bCs/>
          <w:kern w:val="0"/>
        </w:rPr>
        <w:fldChar w:fldCharType="begin">
          <w:ffData>
            <w:name w:val="Text117"/>
            <w:enabled/>
            <w:calcOnExit w:val="0"/>
            <w:textInput>
              <w:default w:val="代理销售机构的实际受理申请时间、是否可撤单及撤单规则可能与产品说明书不一致，具体以代理销售机构披露为准。"/>
            </w:textInput>
          </w:ffData>
        </w:fldChar>
      </w:r>
      <w:r>
        <w:rPr>
          <w:b/>
          <w:bCs/>
          <w:kern w:val="0"/>
        </w:rPr>
        <w:instrText xml:space="preserve">FORMTEXT</w:instrText>
      </w:r>
      <w:r>
        <w:rPr>
          <w:b/>
          <w:bCs/>
          <w:kern w:val="0"/>
        </w:rPr>
        <w:fldChar w:fldCharType="separate"/>
      </w:r>
      <w:r>
        <w:rPr>
          <w:b/>
          <w:bCs/>
          <w:kern w:val="0"/>
        </w:rPr>
        <w:t>代理销售机构的实际受理申请时间、是否可撤单及撤单规则可能与产品说明书不一致，具体以代理销售机构披露为准。</w:t>
      </w:r>
      <w:r>
        <w:rPr>
          <w:b/>
          <w:bCs/>
          <w:kern w:val="0"/>
        </w:rPr>
        <w:fldChar w:fldCharType="end"/>
      </w:r>
    </w:p>
    <w:p>
      <w:pPr>
        <w:autoSpaceDE w:val="0"/>
        <w:autoSpaceDN w:val="0"/>
        <w:adjustRightInd w:val="0"/>
        <w:spacing w:line="360" w:lineRule="auto"/>
        <w:ind w:firstLine="422" w:firstLineChars="200"/>
        <w:rPr>
          <w:b/>
          <w:color w:val="000000"/>
          <w:kern w:val="0"/>
          <w:szCs w:val="21"/>
        </w:rPr>
      </w:pPr>
      <w:r>
        <w:rPr>
          <w:b/>
          <w:bCs/>
          <w:kern w:val="0"/>
        </w:rPr>
        <w:t>如投资者按照本理财产品合同约定撤单的，</w:t>
      </w:r>
      <w:r>
        <w:rPr>
          <w:b/>
          <w:color w:val="000000"/>
          <w:kern w:val="0"/>
          <w:szCs w:val="21"/>
        </w:rPr>
        <w:t>认购资金将在</w:t>
      </w:r>
      <w:r>
        <w:rPr>
          <w:rFonts w:hint="eastAsia"/>
          <w:b/>
          <w:color w:val="000000"/>
          <w:kern w:val="0"/>
          <w:szCs w:val="21"/>
        </w:rPr>
        <w:t>3个交易日</w:t>
      </w:r>
      <w:r>
        <w:rPr>
          <w:b/>
          <w:color w:val="000000"/>
          <w:kern w:val="0"/>
          <w:szCs w:val="21"/>
        </w:rPr>
        <w:t>内解除冻结或原路退还给投资者</w:t>
      </w:r>
      <w:r>
        <w:rPr>
          <w:b/>
          <w:color w:val="000000"/>
          <w:kern w:val="0"/>
          <w:szCs w:val="21"/>
          <w:highlight w:val="none"/>
        </w:rPr>
        <w:fldChar w:fldCharType="begin">
          <w:ffData>
            <w:name w:val="Text77"/>
            <w:enabled/>
            <w:calcOnExit w:val="0"/>
            <w:textInput>
              <w:default w:val="，如产生活期存款利息，一并加计（具体以代理销售机构为准）。"/>
            </w:textInput>
          </w:ffData>
        </w:fldChar>
      </w:r>
      <w:r>
        <w:rPr>
          <w:b/>
          <w:color w:val="000000"/>
          <w:kern w:val="0"/>
          <w:szCs w:val="21"/>
          <w:highlight w:val="none"/>
        </w:rPr>
        <w:instrText xml:space="preserve">FORMTEXT</w:instrText>
      </w:r>
      <w:r>
        <w:rPr>
          <w:b/>
          <w:color w:val="000000"/>
          <w:kern w:val="0"/>
          <w:szCs w:val="21"/>
          <w:highlight w:val="none"/>
        </w:rPr>
        <w:fldChar w:fldCharType="separate"/>
      </w:r>
      <w:r>
        <w:rPr>
          <w:b/>
          <w:color w:val="000000"/>
          <w:kern w:val="0"/>
          <w:szCs w:val="21"/>
          <w:highlight w:val="none"/>
        </w:rPr>
        <w:t>，如产生活期存款利息，一并加计（具体以代理销售机构为准）</w:t>
      </w:r>
      <w:r>
        <w:rPr>
          <w:b/>
          <w:color w:val="000000"/>
          <w:kern w:val="0"/>
          <w:szCs w:val="21"/>
          <w:highlight w:val="none"/>
        </w:rPr>
        <w:fldChar w:fldCharType="end"/>
      </w:r>
      <w:r>
        <w:rPr>
          <w:b/>
          <w:color w:val="000000"/>
          <w:kern w:val="0"/>
          <w:szCs w:val="21"/>
        </w:rPr>
        <w:t>。</w:t>
      </w:r>
    </w:p>
    <w:p>
      <w:pPr>
        <w:autoSpaceDE w:val="0"/>
        <w:autoSpaceDN w:val="0"/>
        <w:adjustRightInd w:val="0"/>
        <w:spacing w:line="360" w:lineRule="auto"/>
        <w:ind w:firstLine="422" w:firstLineChars="200"/>
        <w:rPr>
          <w:b/>
          <w:bCs/>
        </w:rPr>
      </w:pPr>
      <w:r>
        <w:rPr>
          <w:b/>
          <w:bCs/>
          <w:color w:val="000000"/>
          <w:kern w:val="0"/>
        </w:rPr>
        <w:t>（</w:t>
      </w:r>
      <w:r>
        <w:rPr>
          <w:rFonts w:hint="eastAsia"/>
          <w:b/>
          <w:bCs/>
          <w:color w:val="000000"/>
          <w:kern w:val="0"/>
        </w:rPr>
        <w:t>六</w:t>
      </w:r>
      <w:r>
        <w:rPr>
          <w:b/>
          <w:bCs/>
          <w:color w:val="000000"/>
          <w:kern w:val="0"/>
        </w:rPr>
        <w:t>）</w:t>
      </w:r>
      <w:r>
        <w:rPr>
          <w:rFonts w:hint="eastAsia"/>
          <w:b/>
          <w:bCs/>
        </w:rPr>
        <w:t>暂停或拒绝认</w:t>
      </w:r>
      <w:r>
        <w:rPr>
          <w:b/>
          <w:bCs/>
        </w:rPr>
        <w:t>购的情形及处理</w:t>
      </w:r>
    </w:p>
    <w:p>
      <w:pPr>
        <w:autoSpaceDE w:val="0"/>
        <w:autoSpaceDN w:val="0"/>
        <w:adjustRightInd w:val="0"/>
        <w:spacing w:line="360" w:lineRule="auto"/>
        <w:ind w:firstLine="420" w:firstLineChars="200"/>
        <w:rPr>
          <w:kern w:val="0"/>
        </w:rPr>
      </w:pPr>
      <w:r>
        <w:rPr>
          <w:kern w:val="0"/>
        </w:rPr>
        <w:t>管理人可拒绝接受或暂停接受投资者的</w:t>
      </w:r>
      <w:r>
        <w:rPr>
          <w:rFonts w:hint="eastAsia"/>
          <w:kern w:val="0"/>
        </w:rPr>
        <w:t>认购</w:t>
      </w:r>
      <w:r>
        <w:rPr>
          <w:kern w:val="0"/>
        </w:rPr>
        <w:t>申请的情形包括：</w:t>
      </w:r>
    </w:p>
    <w:p>
      <w:pPr>
        <w:autoSpaceDE w:val="0"/>
        <w:autoSpaceDN w:val="0"/>
        <w:adjustRightInd w:val="0"/>
        <w:spacing w:line="360" w:lineRule="auto"/>
        <w:ind w:firstLine="420" w:firstLineChars="200"/>
        <w:rPr>
          <w:rFonts w:hint="eastAsia"/>
          <w:kern w:val="0"/>
        </w:rPr>
      </w:pPr>
      <w:r>
        <w:rPr>
          <w:rFonts w:hint="eastAsia"/>
          <w:kern w:val="0"/>
        </w:rPr>
        <w:t>1.</w:t>
      </w:r>
      <w:r>
        <w:rPr>
          <w:kern w:val="0"/>
        </w:rPr>
        <w:t>不可抗力或国家经济金融政策发生变化等原因导致</w:t>
      </w:r>
      <w:r>
        <w:rPr>
          <w:rFonts w:hint="eastAsia"/>
          <w:kern w:val="0"/>
        </w:rPr>
        <w:t>本理财产品</w:t>
      </w:r>
      <w:r>
        <w:rPr>
          <w:kern w:val="0"/>
        </w:rPr>
        <w:t>无法正常运作</w:t>
      </w:r>
      <w:r>
        <w:rPr>
          <w:rFonts w:hint="eastAsia"/>
          <w:kern w:val="0"/>
        </w:rPr>
        <w:t>。</w:t>
      </w:r>
    </w:p>
    <w:p>
      <w:pPr>
        <w:autoSpaceDE w:val="0"/>
        <w:autoSpaceDN w:val="0"/>
        <w:adjustRightInd w:val="0"/>
        <w:spacing w:line="360" w:lineRule="auto"/>
        <w:ind w:firstLine="420"/>
        <w:rPr>
          <w:rFonts w:hint="eastAsia"/>
          <w:kern w:val="0"/>
        </w:rPr>
      </w:pPr>
      <w:r>
        <w:rPr>
          <w:rFonts w:hint="eastAsia"/>
          <w:kern w:val="0"/>
        </w:rPr>
        <w:t>2.超过产品募集规模上限。</w:t>
      </w:r>
    </w:p>
    <w:p>
      <w:pPr>
        <w:autoSpaceDE w:val="0"/>
        <w:autoSpaceDN w:val="0"/>
        <w:adjustRightInd w:val="0"/>
        <w:spacing w:line="360" w:lineRule="auto"/>
        <w:ind w:firstLine="420"/>
        <w:rPr>
          <w:kern w:val="0"/>
        </w:rPr>
      </w:pPr>
      <w:r>
        <w:rPr>
          <w:rFonts w:hint="eastAsia"/>
          <w:kern w:val="0"/>
        </w:rPr>
        <w:t>3.</w:t>
      </w:r>
      <w:r>
        <w:rPr>
          <w:kern w:val="0"/>
        </w:rPr>
        <w:t>当管理人认为某笔</w:t>
      </w:r>
      <w:r>
        <w:rPr>
          <w:rFonts w:hint="eastAsia"/>
          <w:kern w:val="0"/>
          <w:lang w:val="en-US" w:eastAsia="zh-CN"/>
        </w:rPr>
        <w:t>认</w:t>
      </w:r>
      <w:r>
        <w:rPr>
          <w:kern w:val="0"/>
        </w:rPr>
        <w:t>购申请会有损于</w:t>
      </w:r>
      <w:r>
        <w:rPr>
          <w:rFonts w:hint="eastAsia"/>
          <w:kern w:val="0"/>
        </w:rPr>
        <w:t>本理财产品</w:t>
      </w:r>
      <w:r>
        <w:rPr>
          <w:kern w:val="0"/>
        </w:rPr>
        <w:t>其他份额持有人利益时，可拒绝该笔</w:t>
      </w:r>
      <w:r>
        <w:rPr>
          <w:rFonts w:hint="eastAsia"/>
          <w:kern w:val="0"/>
        </w:rPr>
        <w:t>认</w:t>
      </w:r>
      <w:r>
        <w:rPr>
          <w:kern w:val="0"/>
        </w:rPr>
        <w:t>购申请</w:t>
      </w:r>
      <w:r>
        <w:rPr>
          <w:rFonts w:hint="eastAsia"/>
          <w:kern w:val="0"/>
        </w:rPr>
        <w:t>。</w:t>
      </w:r>
    </w:p>
    <w:p>
      <w:pPr>
        <w:autoSpaceDE w:val="0"/>
        <w:autoSpaceDN w:val="0"/>
        <w:adjustRightInd w:val="0"/>
        <w:spacing w:line="360" w:lineRule="auto"/>
        <w:ind w:firstLine="420" w:firstLineChars="200"/>
        <w:rPr>
          <w:rFonts w:hint="eastAsia"/>
        </w:rPr>
      </w:pPr>
      <w:r>
        <w:rPr>
          <w:rFonts w:hint="eastAsia"/>
        </w:rPr>
        <w:t>4.管理人可以对单个投资者的认购起点金额和认购递增金额进行限制，具体限制详见“一、理财产品基本信息”。如投资者的认购起点金额或认购递增金额不符合相关限制，则管理人有权拒绝该投资者的认购申请。</w:t>
      </w:r>
    </w:p>
    <w:p>
      <w:pPr>
        <w:autoSpaceDE w:val="0"/>
        <w:autoSpaceDN w:val="0"/>
        <w:adjustRightInd w:val="0"/>
        <w:spacing w:line="360" w:lineRule="auto"/>
        <w:ind w:firstLine="420" w:firstLineChars="200"/>
        <w:rPr>
          <w:rFonts w:hint="eastAsia"/>
        </w:rPr>
      </w:pPr>
      <w:r>
        <w:rPr>
          <w:rFonts w:hint="eastAsia"/>
        </w:rPr>
        <w:t>5.管理人可以对单个投资者的</w:t>
      </w:r>
      <w:r>
        <w:rPr>
          <w:color w:val="000000"/>
          <w:kern w:val="0"/>
          <w:szCs w:val="21"/>
        </w:rPr>
        <w:t>认购</w:t>
      </w:r>
      <w:r>
        <w:rPr>
          <w:rFonts w:hint="eastAsia"/>
          <w:color w:val="000000"/>
          <w:kern w:val="0"/>
          <w:szCs w:val="21"/>
        </w:rPr>
        <w:t>金额</w:t>
      </w:r>
      <w:r>
        <w:rPr>
          <w:rFonts w:hint="eastAsia"/>
        </w:rPr>
        <w:t>进行限制，具体限制详见“一、理财产品基本信息”。如投资者的认购金额不符合相关限制，则管理人有权拒绝该投资者的认购申请。</w:t>
      </w:r>
    </w:p>
    <w:p>
      <w:pPr>
        <w:autoSpaceDE w:val="0"/>
        <w:autoSpaceDN w:val="0"/>
        <w:adjustRightInd w:val="0"/>
        <w:spacing w:line="360" w:lineRule="auto"/>
        <w:ind w:firstLine="420" w:firstLineChars="200"/>
        <w:rPr>
          <w:rFonts w:hint="eastAsia"/>
        </w:rPr>
      </w:pPr>
      <w:r>
        <w:rPr>
          <w:rFonts w:hint="eastAsia"/>
        </w:rPr>
        <w:t>6.管理人可以对单个投资者的</w:t>
      </w:r>
      <w:r>
        <w:rPr>
          <w:color w:val="000000"/>
          <w:kern w:val="0"/>
          <w:szCs w:val="21"/>
        </w:rPr>
        <w:t>最高持有份额</w:t>
      </w:r>
      <w:r>
        <w:rPr>
          <w:rFonts w:hint="eastAsia"/>
        </w:rPr>
        <w:t>进行限制，具体限制详见“一、理财产品基本信息”。如募集期届满，单个投资者的认购份额比例达到或超过</w:t>
      </w:r>
      <w:r>
        <w:rPr>
          <w:color w:val="000000"/>
          <w:kern w:val="0"/>
          <w:szCs w:val="21"/>
        </w:rPr>
        <w:t>最高持有份额</w:t>
      </w:r>
      <w:r>
        <w:rPr>
          <w:rFonts w:hint="eastAsia"/>
          <w:color w:val="000000"/>
          <w:kern w:val="0"/>
          <w:szCs w:val="21"/>
        </w:rPr>
        <w:t>限制</w:t>
      </w:r>
      <w:r>
        <w:rPr>
          <w:rFonts w:hint="eastAsia"/>
        </w:rPr>
        <w:t>，管理人有权全部或部分拒绝该投资者的认购申请，以确保其认购份额比例低于</w:t>
      </w:r>
      <w:r>
        <w:rPr>
          <w:color w:val="000000"/>
          <w:kern w:val="0"/>
          <w:szCs w:val="21"/>
        </w:rPr>
        <w:t>最高持有份额</w:t>
      </w:r>
      <w:r>
        <w:rPr>
          <w:rFonts w:hint="eastAsia"/>
          <w:color w:val="000000"/>
          <w:kern w:val="0"/>
          <w:szCs w:val="21"/>
        </w:rPr>
        <w:t>限制</w:t>
      </w:r>
      <w:r>
        <w:rPr>
          <w:rFonts w:hint="eastAsia"/>
        </w:rPr>
        <w:t>。</w:t>
      </w:r>
    </w:p>
    <w:p>
      <w:pPr>
        <w:autoSpaceDE w:val="0"/>
        <w:autoSpaceDN w:val="0"/>
        <w:adjustRightInd w:val="0"/>
        <w:spacing w:line="360" w:lineRule="auto"/>
        <w:ind w:firstLine="420" w:firstLineChars="200"/>
        <w:rPr>
          <w:rFonts w:hint="eastAsia"/>
        </w:rPr>
      </w:pPr>
      <w:r>
        <w:rPr>
          <w:rFonts w:hint="eastAsia"/>
          <w:kern w:val="0"/>
        </w:rPr>
        <w:t>7.</w:t>
      </w:r>
      <w:r>
        <w:rPr>
          <w:kern w:val="0"/>
        </w:rPr>
        <w:t>法律法规规定或管理人基于审慎考虑认定的其他情形</w:t>
      </w:r>
      <w:r>
        <w:rPr>
          <w:rFonts w:hint="eastAsia"/>
          <w:kern w:val="0"/>
        </w:rPr>
        <w:t>。</w:t>
      </w:r>
    </w:p>
    <w:p>
      <w:pPr>
        <w:autoSpaceDE w:val="0"/>
        <w:autoSpaceDN w:val="0"/>
        <w:adjustRightInd w:val="0"/>
        <w:spacing w:line="360" w:lineRule="auto"/>
        <w:ind w:firstLine="420" w:firstLineChars="200"/>
        <w:rPr>
          <w:rFonts w:hint="eastAsia"/>
        </w:rPr>
      </w:pPr>
      <w:r>
        <w:rPr>
          <w:rFonts w:hint="eastAsia"/>
        </w:rPr>
        <w:t>管理人将在运用暂停认购措施后的3个交易日内告知本理财产品的投资者，并说明运用相关措施的原因、拟采取的应对安排等。</w:t>
      </w:r>
    </w:p>
    <w:p>
      <w:pPr>
        <w:autoSpaceDE w:val="0"/>
        <w:autoSpaceDN w:val="0"/>
        <w:adjustRightInd w:val="0"/>
        <w:spacing w:line="360" w:lineRule="auto"/>
        <w:ind w:firstLine="420" w:firstLineChars="200"/>
        <w:rPr>
          <w:b/>
          <w:color w:val="000000"/>
          <w:kern w:val="0"/>
          <w:szCs w:val="21"/>
        </w:rPr>
      </w:pPr>
      <w:r>
        <w:rPr>
          <w:rFonts w:hint="eastAsia"/>
          <w:kern w:val="0"/>
        </w:rPr>
        <w:t>对于管理人决定拒绝的认购申请，视为认购不成功。</w:t>
      </w:r>
      <w:r>
        <w:rPr>
          <w:kern w:val="0"/>
        </w:rPr>
        <w:t>如果投资者的</w:t>
      </w:r>
      <w:r>
        <w:rPr>
          <w:rFonts w:hint="eastAsia"/>
          <w:kern w:val="0"/>
        </w:rPr>
        <w:t>认</w:t>
      </w:r>
      <w:r>
        <w:rPr>
          <w:kern w:val="0"/>
        </w:rPr>
        <w:t>购申请被拒绝的，被拒绝的</w:t>
      </w:r>
      <w:r>
        <w:rPr>
          <w:rFonts w:hint="eastAsia"/>
          <w:kern w:val="0"/>
        </w:rPr>
        <w:t>认</w:t>
      </w:r>
      <w:r>
        <w:rPr>
          <w:bCs/>
          <w:color w:val="000000"/>
          <w:kern w:val="0"/>
          <w:szCs w:val="21"/>
        </w:rPr>
        <w:t>购资金将在</w:t>
      </w:r>
      <w:r>
        <w:rPr>
          <w:rFonts w:hint="eastAsia"/>
          <w:bCs/>
          <w:color w:val="000000"/>
          <w:kern w:val="0"/>
          <w:szCs w:val="21"/>
        </w:rPr>
        <w:t>3</w:t>
      </w:r>
      <w:r>
        <w:rPr>
          <w:bCs/>
          <w:color w:val="000000"/>
          <w:kern w:val="0"/>
          <w:szCs w:val="21"/>
        </w:rPr>
        <w:t>个交易日内解除冻结或原路退还给投资者</w:t>
      </w:r>
      <w:r>
        <w:rPr>
          <w:b/>
          <w:bCs w:val="0"/>
          <w:color w:val="000000"/>
          <w:kern w:val="0"/>
          <w:szCs w:val="21"/>
          <w:highlight w:val="none"/>
        </w:rPr>
        <w:fldChar w:fldCharType="begin">
          <w:ffData>
            <w:name w:val="Text77"/>
            <w:enabled/>
            <w:calcOnExit w:val="0"/>
            <w:textInput>
              <w:default w:val="，如产生活期存款利息，一并加计（具体以代理销售机构为准）。"/>
            </w:textInput>
          </w:ffData>
        </w:fldChar>
      </w:r>
      <w:r>
        <w:rPr>
          <w:b/>
          <w:bCs w:val="0"/>
          <w:color w:val="000000"/>
          <w:kern w:val="0"/>
          <w:szCs w:val="21"/>
          <w:highlight w:val="none"/>
        </w:rPr>
        <w:instrText xml:space="preserve">FORMTEXT</w:instrText>
      </w:r>
      <w:r>
        <w:rPr>
          <w:b/>
          <w:bCs w:val="0"/>
          <w:color w:val="000000"/>
          <w:kern w:val="0"/>
          <w:szCs w:val="21"/>
          <w:highlight w:val="none"/>
        </w:rPr>
        <w:fldChar w:fldCharType="separate"/>
      </w:r>
      <w:r>
        <w:rPr>
          <w:b/>
          <w:bCs w:val="0"/>
          <w:color w:val="000000"/>
          <w:kern w:val="0"/>
          <w:szCs w:val="21"/>
          <w:highlight w:val="none"/>
        </w:rPr>
        <w:t>，如产生活期存款利息，一并加计（具体以代理销售机构为准）</w:t>
      </w:r>
      <w:r>
        <w:rPr>
          <w:b/>
          <w:bCs w:val="0"/>
          <w:color w:val="000000"/>
          <w:kern w:val="0"/>
          <w:szCs w:val="21"/>
          <w:highlight w:val="none"/>
        </w:rPr>
        <w:fldChar w:fldCharType="end"/>
      </w:r>
      <w:r>
        <w:rPr>
          <w:b/>
          <w:color w:val="000000"/>
          <w:kern w:val="0"/>
          <w:szCs w:val="21"/>
        </w:rPr>
        <w:t>。</w:t>
      </w:r>
    </w:p>
    <w:p>
      <w:pPr>
        <w:spacing w:line="360" w:lineRule="auto"/>
        <w:ind w:firstLine="422" w:firstLineChars="200"/>
        <w:rPr>
          <w:b/>
          <w:kern w:val="44"/>
          <w:szCs w:val="21"/>
        </w:rPr>
      </w:pPr>
      <w:r>
        <w:rPr>
          <w:b/>
          <w:bCs/>
          <w:kern w:val="0"/>
        </w:rPr>
        <w:t>（</w:t>
      </w:r>
      <w:r>
        <w:rPr>
          <w:rFonts w:hint="eastAsia"/>
          <w:b/>
          <w:bCs/>
          <w:kern w:val="0"/>
        </w:rPr>
        <w:t>七</w:t>
      </w:r>
      <w:r>
        <w:rPr>
          <w:b/>
          <w:bCs/>
          <w:kern w:val="0"/>
        </w:rPr>
        <w:t>）</w:t>
      </w:r>
      <w:r>
        <w:rPr>
          <w:b/>
          <w:kern w:val="44"/>
        </w:rPr>
        <w:t>赎回</w:t>
      </w:r>
    </w:p>
    <w:p>
      <w:pPr>
        <w:autoSpaceDE w:val="0"/>
        <w:autoSpaceDN w:val="0"/>
        <w:adjustRightInd w:val="0"/>
        <w:spacing w:line="360" w:lineRule="auto"/>
        <w:ind w:firstLine="422" w:firstLineChars="200"/>
        <w:rPr>
          <w:b/>
          <w:bCs/>
          <w:color w:val="000000"/>
          <w:kern w:val="44"/>
          <w:szCs w:val="21"/>
        </w:rPr>
      </w:pPr>
      <w:r>
        <w:rPr>
          <w:rFonts w:hint="eastAsia"/>
          <w:b/>
          <w:kern w:val="0"/>
        </w:rPr>
        <w:t>本理财产品为封闭式产品，</w:t>
      </w:r>
      <w:r>
        <w:rPr>
          <w:rFonts w:hint="eastAsia"/>
          <w:b/>
          <w:kern w:val="0"/>
          <w:lang w:val="en-US" w:eastAsia="zh-CN"/>
        </w:rPr>
        <w:t>投资者</w:t>
      </w:r>
      <w:r>
        <w:rPr>
          <w:rFonts w:hint="eastAsia"/>
          <w:b/>
          <w:kern w:val="0"/>
        </w:rPr>
        <w:t>在到期日前不办理赎回。</w:t>
      </w:r>
      <w:r>
        <w:rPr>
          <w:rFonts w:hint="eastAsia"/>
          <w:b/>
          <w:bCs/>
          <w:color w:val="000000"/>
          <w:kern w:val="44"/>
          <w:szCs w:val="21"/>
        </w:rPr>
        <w:t>如涉及</w:t>
      </w:r>
      <w:r>
        <w:rPr>
          <w:b/>
          <w:bCs/>
          <w:color w:val="000000"/>
          <w:kern w:val="44"/>
          <w:szCs w:val="21"/>
        </w:rPr>
        <w:t>理财产品</w:t>
      </w:r>
      <w:r>
        <w:rPr>
          <w:rFonts w:hint="eastAsia"/>
          <w:b/>
          <w:bCs/>
          <w:color w:val="000000"/>
          <w:kern w:val="44"/>
          <w:szCs w:val="21"/>
        </w:rPr>
        <w:t>投资范围、投资品种、投资比例调整导致其超出约定比例、</w:t>
      </w:r>
      <w:r>
        <w:rPr>
          <w:b/>
          <w:bCs/>
          <w:color w:val="000000"/>
          <w:kern w:val="44"/>
          <w:szCs w:val="21"/>
        </w:rPr>
        <w:t>提高服务费率或新增服务收费项目</w:t>
      </w:r>
      <w:r>
        <w:rPr>
          <w:rFonts w:hint="eastAsia"/>
          <w:b/>
          <w:bCs/>
          <w:color w:val="000000"/>
          <w:kern w:val="44"/>
          <w:szCs w:val="21"/>
        </w:rPr>
        <w:t>等情形时，</w:t>
      </w:r>
      <w:r>
        <w:rPr>
          <w:b/>
          <w:bCs/>
          <w:lang w:bidi="ar"/>
        </w:rPr>
        <w:t>应当先</w:t>
      </w:r>
      <w:r>
        <w:rPr>
          <w:rFonts w:hint="eastAsia"/>
          <w:b/>
          <w:bCs/>
          <w:lang w:bidi="ar"/>
        </w:rPr>
        <w:t>征得</w:t>
      </w:r>
      <w:r>
        <w:rPr>
          <w:b/>
          <w:bCs/>
          <w:lang w:bidi="ar"/>
        </w:rPr>
        <w:t>投资者同意</w:t>
      </w:r>
      <w:r>
        <w:rPr>
          <w:rFonts w:hint="eastAsia"/>
          <w:b/>
          <w:bCs/>
          <w:lang w:bidi="ar"/>
        </w:rPr>
        <w:t>；</w:t>
      </w:r>
      <w:r>
        <w:rPr>
          <w:rFonts w:hint="eastAsia"/>
          <w:b/>
          <w:bCs/>
          <w:color w:val="000000"/>
          <w:kern w:val="44"/>
          <w:szCs w:val="21"/>
        </w:rPr>
        <w:t>投资者不接受的，管理人将根据法律法规要求允许投资者提前赎回本理财产品，具体方式等以届时公告为准</w:t>
      </w:r>
      <w:r>
        <w:rPr>
          <w:b/>
          <w:bCs/>
          <w:color w:val="000000"/>
          <w:kern w:val="44"/>
          <w:szCs w:val="21"/>
        </w:rPr>
        <w:t>。</w:t>
      </w:r>
      <w:bookmarkStart w:id="33" w:name="Text81"/>
      <w:r>
        <w:rPr>
          <w:b/>
          <w:bCs/>
          <w:color w:val="000000"/>
          <w:kern w:val="44"/>
          <w:szCs w:val="21"/>
        </w:rPr>
        <w:fldChar w:fldCharType="begin">
          <w:ffData>
            <w:name w:val="Text81"/>
            <w:enabled/>
            <w:calcOnExit w:val="0"/>
            <w:textInput>
              <w:default w:val="如本理财产品用于在中国民生银行办理贷款业务中提供质押担保，在发生质押贷款本息到期未清偿、或触发质押合同约定的平仓线、本理财产品提前终止、或其他满足行使担保权利的情形下，管理人可能对理财产品对应份额发起强制赎回。"/>
            </w:textInput>
          </w:ffData>
        </w:fldChar>
      </w:r>
      <w:r>
        <w:rPr>
          <w:b/>
          <w:bCs/>
          <w:color w:val="000000"/>
          <w:kern w:val="44"/>
          <w:szCs w:val="21"/>
        </w:rPr>
        <w:instrText xml:space="preserve">FORMTEXT</w:instrText>
      </w:r>
      <w:r>
        <w:rPr>
          <w:b/>
          <w:bCs/>
          <w:color w:val="000000"/>
          <w:kern w:val="44"/>
          <w:szCs w:val="21"/>
        </w:rPr>
        <w:fldChar w:fldCharType="separate"/>
      </w:r>
      <w:r>
        <w:rPr>
          <w:b/>
          <w:bCs/>
          <w:color w:val="000000"/>
          <w:kern w:val="44"/>
          <w:szCs w:val="21"/>
        </w:rPr>
        <w:t>如本理财产品用于在中国民生银行办理贷款业务中提供质押担保，在发生质押贷款本息到期未清偿、或触发质押合同约定的平仓线、本理财产品提前终止、或其他满足行使担保权利的情形下，管理人可能对理财产品对应份额发起强制赎回。</w:t>
      </w:r>
      <w:r>
        <w:rPr>
          <w:b/>
          <w:bCs/>
          <w:color w:val="000000"/>
          <w:kern w:val="44"/>
          <w:szCs w:val="21"/>
        </w:rPr>
        <w:fldChar w:fldCharType="end"/>
      </w:r>
      <w:bookmarkEnd w:id="33"/>
    </w:p>
    <w:p>
      <w:pPr>
        <w:autoSpaceDE w:val="0"/>
        <w:autoSpaceDN w:val="0"/>
        <w:adjustRightInd w:val="0"/>
        <w:spacing w:line="360" w:lineRule="auto"/>
        <w:ind w:firstLine="420" w:firstLineChars="200"/>
        <w:rPr>
          <w:kern w:val="0"/>
        </w:rPr>
      </w:pPr>
    </w:p>
    <w:p>
      <w:pPr>
        <w:autoSpaceDE w:val="0"/>
        <w:autoSpaceDN w:val="0"/>
        <w:adjustRightInd w:val="0"/>
        <w:spacing w:line="360" w:lineRule="auto"/>
        <w:rPr>
          <w:b/>
          <w:bCs/>
          <w:color w:val="000000"/>
          <w:kern w:val="0"/>
        </w:rPr>
      </w:pPr>
      <w:r>
        <w:rPr>
          <w:rFonts w:hint="eastAsia"/>
          <w:b/>
          <w:bCs/>
          <w:color w:val="000000"/>
          <w:kern w:val="0"/>
        </w:rPr>
        <w:t>七</w:t>
      </w:r>
      <w:r>
        <w:rPr>
          <w:b/>
          <w:bCs/>
          <w:color w:val="000000"/>
          <w:kern w:val="0"/>
        </w:rPr>
        <w:t>、理财产品的</w:t>
      </w:r>
      <w:bookmarkStart w:id="34" w:name="Text83"/>
      <w:r>
        <w:rPr>
          <w:rFonts w:ascii="Times New Roman" w:hAnsi="Times New Roman" w:eastAsia="宋体" w:cs="Times New Roman"/>
          <w:b/>
          <w:bCs/>
          <w:color w:val="000000"/>
          <w:kern w:val="0"/>
          <w:sz w:val="21"/>
          <w:szCs w:val="24"/>
          <w:lang w:val="en-US" w:eastAsia="zh-CN" w:bidi="ar-SA"/>
        </w:rPr>
        <w:fldChar w:fldCharType="begin">
          <w:ffData>
            <w:name w:val="Text83"/>
            <w:enabled/>
            <w:calcOnExit w:val="0"/>
            <w:textInput>
              <w:default w:val="费用、税收和质押"/>
            </w:textInput>
          </w:ffData>
        </w:fldChar>
      </w:r>
      <w:r>
        <w:rPr>
          <w:rFonts w:ascii="Times New Roman" w:hAnsi="Times New Roman" w:eastAsia="宋体" w:cs="Times New Roman"/>
          <w:b/>
          <w:bCs/>
          <w:color w:val="000000"/>
          <w:kern w:val="0"/>
          <w:sz w:val="21"/>
          <w:szCs w:val="24"/>
          <w:lang w:val="en-US" w:eastAsia="zh-CN" w:bidi="ar-SA"/>
        </w:rPr>
        <w:instrText xml:space="preserve">FORMTEXT</w:instrText>
      </w:r>
      <w:r>
        <w:rPr>
          <w:rFonts w:ascii="Times New Roman" w:hAnsi="Times New Roman" w:eastAsia="宋体" w:cs="Times New Roman"/>
          <w:b/>
          <w:bCs/>
          <w:color w:val="000000"/>
          <w:kern w:val="0"/>
          <w:sz w:val="21"/>
          <w:szCs w:val="24"/>
          <w:lang w:val="en-US" w:eastAsia="zh-CN" w:bidi="ar-SA"/>
        </w:rPr>
        <w:fldChar w:fldCharType="separate"/>
      </w:r>
      <w:r>
        <w:rPr>
          <w:rFonts w:ascii="Times New Roman" w:hAnsi="Times New Roman" w:eastAsia="宋体" w:cs="Times New Roman"/>
          <w:b/>
          <w:bCs/>
          <w:color w:val="000000"/>
          <w:kern w:val="0"/>
          <w:sz w:val="21"/>
          <w:szCs w:val="24"/>
          <w:lang w:val="en-US" w:eastAsia="zh-CN" w:bidi="ar-SA"/>
        </w:rPr>
        <w:t>费用、税收和质押</w:t>
      </w:r>
      <w:r>
        <w:rPr>
          <w:rFonts w:ascii="Times New Roman" w:hAnsi="Times New Roman" w:eastAsia="宋体" w:cs="Times New Roman"/>
          <w:b/>
          <w:bCs/>
          <w:color w:val="000000"/>
          <w:kern w:val="0"/>
          <w:sz w:val="21"/>
          <w:szCs w:val="24"/>
          <w:lang w:val="en-US" w:eastAsia="zh-CN" w:bidi="ar-SA"/>
        </w:rPr>
        <w:fldChar w:fldCharType="end"/>
      </w:r>
      <w:bookmarkEnd w:id="34"/>
    </w:p>
    <w:p>
      <w:pPr>
        <w:autoSpaceDE w:val="0"/>
        <w:autoSpaceDN w:val="0"/>
        <w:adjustRightInd w:val="0"/>
        <w:spacing w:line="360" w:lineRule="auto"/>
        <w:ind w:firstLine="422" w:firstLineChars="200"/>
        <w:rPr>
          <w:b/>
          <w:bCs/>
          <w:kern w:val="0"/>
        </w:rPr>
      </w:pPr>
      <w:r>
        <w:rPr>
          <w:b/>
          <w:bCs/>
          <w:kern w:val="0"/>
        </w:rPr>
        <w:t>（一）费用种类</w:t>
      </w:r>
    </w:p>
    <w:p>
      <w:pPr>
        <w:autoSpaceDE w:val="0"/>
        <w:autoSpaceDN w:val="0"/>
        <w:adjustRightInd w:val="0"/>
        <w:spacing w:line="360" w:lineRule="auto"/>
        <w:ind w:firstLine="422" w:firstLineChars="200"/>
        <w:rPr>
          <w:b/>
          <w:bCs/>
          <w:kern w:val="0"/>
        </w:rPr>
      </w:pPr>
      <w:r>
        <w:rPr>
          <w:b/>
          <w:bCs/>
          <w:kern w:val="0"/>
        </w:rPr>
        <w:t>本理财产品的费用包括固定管理费、托管费、销售费、业绩报酬以及其他在产品投资运作过程中产生的</w:t>
      </w:r>
      <w:r>
        <w:rPr>
          <w:b/>
          <w:bCs/>
          <w:color w:val="000000"/>
          <w:kern w:val="44"/>
          <w:szCs w:val="21"/>
        </w:rPr>
        <w:t>会计师费、律师费、交易费、手续费等按照国家有关法令规定属于理财资产应列支和承担的一切费用</w:t>
      </w:r>
      <w:r>
        <w:rPr>
          <w:b/>
          <w:bCs/>
          <w:kern w:val="0"/>
        </w:rPr>
        <w:t>。</w:t>
      </w:r>
    </w:p>
    <w:p>
      <w:pPr>
        <w:autoSpaceDE w:val="0"/>
        <w:autoSpaceDN w:val="0"/>
        <w:adjustRightInd w:val="0"/>
        <w:spacing w:line="360" w:lineRule="auto"/>
        <w:ind w:firstLine="422" w:firstLineChars="200"/>
        <w:rPr>
          <w:b/>
          <w:bCs/>
          <w:kern w:val="0"/>
        </w:rPr>
      </w:pPr>
      <w:r>
        <w:rPr>
          <w:b/>
          <w:bCs/>
          <w:kern w:val="0"/>
        </w:rPr>
        <w:t xml:space="preserve">（二）费用的计提方法、计提标准和支付方式 </w:t>
      </w:r>
    </w:p>
    <w:p>
      <w:pPr>
        <w:autoSpaceDE w:val="0"/>
        <w:autoSpaceDN w:val="0"/>
        <w:adjustRightInd w:val="0"/>
        <w:spacing w:line="360" w:lineRule="auto"/>
        <w:ind w:firstLine="422" w:firstLineChars="200"/>
        <w:rPr>
          <w:b/>
          <w:bCs/>
          <w:kern w:val="0"/>
        </w:rPr>
      </w:pPr>
      <w:r>
        <w:rPr>
          <w:b/>
          <w:bCs/>
          <w:kern w:val="0"/>
        </w:rPr>
        <w:t>1.固定管理费</w:t>
      </w:r>
    </w:p>
    <w:p>
      <w:pPr>
        <w:autoSpaceDE w:val="0"/>
        <w:autoSpaceDN w:val="0"/>
        <w:adjustRightInd w:val="0"/>
        <w:spacing w:line="360" w:lineRule="auto"/>
        <w:ind w:firstLine="422" w:firstLineChars="200"/>
        <w:rPr>
          <w:b/>
          <w:bCs/>
          <w:kern w:val="0"/>
        </w:rPr>
      </w:pPr>
      <w:r>
        <w:rPr>
          <w:b/>
          <w:bCs/>
          <w:kern w:val="0"/>
        </w:rPr>
        <w:t>本理财产品的固定管理费率为【</w:t>
      </w:r>
      <w:r>
        <w:rPr>
          <w:rFonts w:hint="eastAsia"/>
          <w:b/>
          <w:bCs/>
          <w:kern w:val="0"/>
        </w:rPr>
        <w:fldChar w:fldCharType="begin">
          <w:ffData>
            <w:name w:val="Text74"/>
            <w:enabled/>
            <w:calcOnExit w:val="0"/>
            <w:textInput>
              <w:default w:val="0.50%/年"/>
            </w:textInput>
          </w:ffData>
        </w:fldChar>
      </w:r>
      <w:r>
        <w:rPr>
          <w:rFonts w:hint="eastAsia"/>
          <w:b/>
          <w:bCs/>
          <w:kern w:val="0"/>
        </w:rPr>
        <w:instrText xml:space="preserve">FORMTEXT</w:instrText>
      </w:r>
      <w:r>
        <w:rPr>
          <w:rFonts w:hint="eastAsia"/>
          <w:b/>
          <w:bCs/>
          <w:kern w:val="0"/>
        </w:rPr>
        <w:fldChar w:fldCharType="separate"/>
      </w:r>
      <w:r>
        <w:rPr>
          <w:rFonts w:hint="eastAsia"/>
          <w:b/>
          <w:bCs/>
          <w:kern w:val="0"/>
        </w:rPr>
        <w:t>0.50%/年</w:t>
      </w:r>
      <w:r>
        <w:rPr>
          <w:rFonts w:hint="eastAsia"/>
          <w:b/>
          <w:bCs/>
          <w:kern w:val="0"/>
        </w:rPr>
        <w:fldChar w:fldCharType="end"/>
      </w:r>
      <w:r>
        <w:rPr>
          <w:b/>
          <w:bCs/>
          <w:kern w:val="0"/>
        </w:rPr>
        <w:t>】，</w:t>
      </w:r>
      <w:r>
        <w:rPr>
          <w:b/>
          <w:bCs/>
          <w:kern w:val="0"/>
        </w:rPr>
        <w:fldChar w:fldCharType="begin">
          <w:ffData>
            <w:name w:val="Text105"/>
            <w:enabled/>
            <w:calcOnExit w:val="0"/>
            <w:textInput>
              <w:default w:val="按日以产品资产净值计提，按季度支付给管理人"/>
            </w:textInput>
          </w:ffData>
        </w:fldChar>
      </w:r>
      <w:r>
        <w:rPr>
          <w:b/>
          <w:bCs/>
          <w:kern w:val="0"/>
        </w:rPr>
        <w:instrText xml:space="preserve">FORMTEXT</w:instrText>
      </w:r>
      <w:r>
        <w:rPr>
          <w:b/>
          <w:bCs/>
          <w:kern w:val="0"/>
        </w:rPr>
        <w:fldChar w:fldCharType="separate"/>
      </w:r>
      <w:r>
        <w:rPr>
          <w:b/>
          <w:bCs/>
          <w:kern w:val="0"/>
        </w:rPr>
        <w:t>按日以产品资产净值计提，按季度支付给管理人</w:t>
      </w:r>
      <w:r>
        <w:rPr>
          <w:b/>
          <w:bCs/>
          <w:kern w:val="0"/>
        </w:rPr>
        <w:fldChar w:fldCharType="end"/>
      </w:r>
      <w:r>
        <w:rPr>
          <w:b/>
          <w:bCs/>
          <w:kern w:val="0"/>
        </w:rPr>
        <w:t>。</w:t>
      </w:r>
    </w:p>
    <w:p>
      <w:pPr>
        <w:autoSpaceDE w:val="0"/>
        <w:autoSpaceDN w:val="0"/>
        <w:adjustRightInd w:val="0"/>
        <w:spacing w:line="360" w:lineRule="auto"/>
        <w:ind w:firstLine="422" w:firstLineChars="200"/>
        <w:rPr>
          <w:rFonts w:hint="eastAsia"/>
          <w:b/>
          <w:bCs/>
          <w:kern w:val="0"/>
        </w:rPr>
      </w:pPr>
      <w:r>
        <w:rPr>
          <w:b/>
          <w:bCs/>
          <w:kern w:val="0"/>
        </w:rPr>
        <w:fldChar w:fldCharType="begin">
          <w:ffData>
            <w:name w:val="Arial"/>
            <w:enabled/>
            <w:calcOnExit w:val="0"/>
            <w:textInput>
              <w:default w:val="计算公式如下："/>
            </w:textInput>
          </w:ffData>
        </w:fldChar>
      </w:r>
      <w:r>
        <w:rPr>
          <w:b/>
          <w:bCs/>
          <w:kern w:val="0"/>
        </w:rPr>
        <w:instrText xml:space="preserve">FORMTEXT</w:instrText>
      </w:r>
      <w:r>
        <w:rPr>
          <w:b/>
          <w:bCs/>
          <w:kern w:val="0"/>
        </w:rPr>
        <w:fldChar w:fldCharType="separate"/>
      </w:r>
      <w:r>
        <w:rPr>
          <w:b/>
          <w:bCs/>
          <w:kern w:val="0"/>
        </w:rPr>
        <w:t>计算公式如下：</w:t>
      </w:r>
      <w:r>
        <w:rPr>
          <w:b/>
          <w:bCs/>
          <w:kern w:val="0"/>
        </w:rPr>
        <w:fldChar w:fldCharType="end"/>
      </w:r>
    </w:p>
    <w:p>
      <w:pPr>
        <w:autoSpaceDE w:val="0"/>
        <w:autoSpaceDN w:val="0"/>
        <w:adjustRightInd w:val="0"/>
        <w:spacing w:line="360" w:lineRule="auto"/>
        <w:ind w:firstLine="422" w:firstLineChars="200"/>
        <w:rPr>
          <w:rFonts w:hint="eastAsia"/>
          <w:b/>
          <w:bCs/>
          <w:kern w:val="0"/>
        </w:rPr>
      </w:pPr>
      <w:r>
        <w:rPr>
          <w:rFonts w:hint="eastAsia"/>
          <w:b/>
          <w:bCs/>
          <w:kern w:val="0"/>
        </w:rPr>
        <w:fldChar w:fldCharType="begin">
          <w:ffData>
            <w:name w:val="Text104"/>
            <w:enabled/>
            <w:calcOnExit w:val="0"/>
            <w:textInput>
              <w:default w:val="当日应计提的固定管理费=前一日本理财产品资产净值×固定管理费率÷365"/>
            </w:textInput>
          </w:ffData>
        </w:fldChar>
      </w:r>
      <w:r>
        <w:rPr>
          <w:rFonts w:hint="eastAsia"/>
          <w:b/>
          <w:bCs/>
          <w:kern w:val="0"/>
        </w:rPr>
        <w:instrText xml:space="preserve">FORMTEXT</w:instrText>
      </w:r>
      <w:r>
        <w:rPr>
          <w:rFonts w:hint="eastAsia"/>
          <w:b/>
          <w:bCs/>
          <w:kern w:val="0"/>
        </w:rPr>
        <w:fldChar w:fldCharType="separate"/>
      </w:r>
      <w:r>
        <w:rPr>
          <w:rFonts w:hint="eastAsia"/>
          <w:b/>
          <w:bCs/>
          <w:kern w:val="0"/>
        </w:rPr>
        <w:t>当日应计提的固定管理费=前一日本理财产品资产净值×固定管理费率÷365</w:t>
      </w:r>
      <w:r>
        <w:rPr>
          <w:rFonts w:hint="eastAsia"/>
          <w:b/>
          <w:bCs/>
          <w:kern w:val="0"/>
        </w:rPr>
        <w:fldChar w:fldCharType="end"/>
      </w:r>
    </w:p>
    <w:p>
      <w:pPr>
        <w:autoSpaceDE w:val="0"/>
        <w:autoSpaceDN w:val="0"/>
        <w:adjustRightInd w:val="0"/>
        <w:spacing w:line="360" w:lineRule="auto"/>
        <w:ind w:firstLine="422" w:firstLineChars="200"/>
        <w:rPr>
          <w:b/>
          <w:bCs/>
          <w:kern w:val="0"/>
        </w:rPr>
      </w:pPr>
      <w:r>
        <w:rPr>
          <w:b/>
          <w:bCs/>
          <w:kern w:val="0"/>
        </w:rPr>
        <w:t>2.托管费</w:t>
      </w:r>
    </w:p>
    <w:p>
      <w:pPr>
        <w:autoSpaceDE w:val="0"/>
        <w:autoSpaceDN w:val="0"/>
        <w:adjustRightInd w:val="0"/>
        <w:spacing w:line="360" w:lineRule="auto"/>
        <w:ind w:firstLine="422" w:firstLineChars="200"/>
        <w:rPr>
          <w:b/>
          <w:bCs/>
          <w:kern w:val="0"/>
        </w:rPr>
      </w:pPr>
      <w:r>
        <w:rPr>
          <w:b/>
          <w:bCs/>
          <w:kern w:val="0"/>
        </w:rPr>
        <w:t>本理财产品的托管费率为【</w:t>
      </w:r>
      <w:r>
        <w:rPr>
          <w:b/>
          <w:bCs/>
          <w:kern w:val="0"/>
        </w:rPr>
        <w:fldChar w:fldCharType="begin">
          <w:ffData>
            <w:enabled/>
            <w:calcOnExit w:val="0"/>
            <w:textInput>
              <w:default w:val="0.03%/年"/>
            </w:textInput>
          </w:ffData>
        </w:fldChar>
      </w:r>
      <w:r>
        <w:rPr>
          <w:b/>
          <w:bCs/>
          <w:kern w:val="0"/>
        </w:rPr>
        <w:instrText xml:space="preserve"> FORMTEXT </w:instrText>
      </w:r>
      <w:r>
        <w:rPr>
          <w:b/>
          <w:bCs/>
          <w:kern w:val="0"/>
        </w:rPr>
        <w:fldChar w:fldCharType="separate"/>
      </w:r>
      <w:r>
        <w:rPr>
          <w:rFonts w:hint="eastAsia"/>
          <w:b/>
          <w:bCs/>
          <w:kern w:val="0"/>
        </w:rPr>
        <w:t>0.03%/年</w:t>
      </w:r>
      <w:r>
        <w:rPr>
          <w:b/>
          <w:bCs/>
          <w:kern w:val="0"/>
        </w:rPr>
        <w:fldChar w:fldCharType="end"/>
      </w:r>
      <w:r>
        <w:rPr>
          <w:b/>
          <w:bCs/>
          <w:kern w:val="0"/>
        </w:rPr>
        <w:t>】，</w:t>
      </w:r>
      <w:bookmarkStart w:id="35" w:name="Text105"/>
      <w:r>
        <w:rPr>
          <w:b/>
          <w:bCs/>
          <w:kern w:val="0"/>
        </w:rPr>
        <w:fldChar w:fldCharType="begin">
          <w:ffData>
            <w:name w:val="Text105"/>
            <w:enabled/>
            <w:calcOnExit w:val="0"/>
            <w:textInput>
              <w:default w:val="按日以产品资产净值计提，按季度支付给托管人"/>
            </w:textInput>
          </w:ffData>
        </w:fldChar>
      </w:r>
      <w:r>
        <w:rPr>
          <w:b/>
          <w:bCs/>
          <w:kern w:val="0"/>
        </w:rPr>
        <w:instrText xml:space="preserve">FORMTEXT</w:instrText>
      </w:r>
      <w:r>
        <w:rPr>
          <w:b/>
          <w:bCs/>
          <w:kern w:val="0"/>
        </w:rPr>
        <w:fldChar w:fldCharType="separate"/>
      </w:r>
      <w:r>
        <w:rPr>
          <w:b/>
          <w:bCs/>
          <w:kern w:val="0"/>
        </w:rPr>
        <w:t>按日以产品资产净值计提，按季度支付给托管人</w:t>
      </w:r>
      <w:r>
        <w:rPr>
          <w:b/>
          <w:bCs/>
          <w:kern w:val="0"/>
        </w:rPr>
        <w:fldChar w:fldCharType="end"/>
      </w:r>
      <w:bookmarkEnd w:id="35"/>
      <w:r>
        <w:rPr>
          <w:b/>
          <w:bCs/>
          <w:kern w:val="0"/>
        </w:rPr>
        <w:t>。</w:t>
      </w:r>
    </w:p>
    <w:p>
      <w:pPr>
        <w:autoSpaceDE w:val="0"/>
        <w:autoSpaceDN w:val="0"/>
        <w:adjustRightInd w:val="0"/>
        <w:spacing w:line="360" w:lineRule="auto"/>
        <w:ind w:firstLine="422" w:firstLineChars="200"/>
        <w:rPr>
          <w:b/>
          <w:bCs/>
          <w:kern w:val="0"/>
        </w:rPr>
      </w:pPr>
      <w:r>
        <w:rPr>
          <w:b/>
          <w:bCs/>
          <w:kern w:val="0"/>
        </w:rPr>
        <w:fldChar w:fldCharType="begin">
          <w:ffData>
            <w:name w:val="Arial"/>
            <w:enabled/>
            <w:calcOnExit w:val="0"/>
            <w:textInput>
              <w:default w:val="计算公式如下："/>
            </w:textInput>
          </w:ffData>
        </w:fldChar>
      </w:r>
      <w:r>
        <w:rPr>
          <w:b/>
          <w:bCs/>
          <w:kern w:val="0"/>
        </w:rPr>
        <w:instrText xml:space="preserve">FORMTEXT</w:instrText>
      </w:r>
      <w:r>
        <w:rPr>
          <w:b/>
          <w:bCs/>
          <w:kern w:val="0"/>
        </w:rPr>
        <w:fldChar w:fldCharType="separate"/>
      </w:r>
      <w:r>
        <w:rPr>
          <w:b/>
          <w:bCs/>
          <w:kern w:val="0"/>
        </w:rPr>
        <w:t>计算公式如下：</w:t>
      </w:r>
      <w:r>
        <w:rPr>
          <w:b/>
          <w:bCs/>
          <w:kern w:val="0"/>
        </w:rPr>
        <w:fldChar w:fldCharType="end"/>
      </w:r>
    </w:p>
    <w:p>
      <w:pPr>
        <w:autoSpaceDE w:val="0"/>
        <w:autoSpaceDN w:val="0"/>
        <w:adjustRightInd w:val="0"/>
        <w:spacing w:line="360" w:lineRule="auto"/>
        <w:ind w:firstLine="422" w:firstLineChars="200"/>
        <w:rPr>
          <w:rFonts w:hint="eastAsia"/>
          <w:b/>
          <w:bCs/>
          <w:kern w:val="0"/>
        </w:rPr>
      </w:pPr>
      <w:r>
        <w:rPr>
          <w:rFonts w:hint="eastAsia"/>
          <w:b/>
          <w:bCs/>
          <w:kern w:val="0"/>
        </w:rPr>
        <w:fldChar w:fldCharType="begin">
          <w:ffData>
            <w:name w:val="Text104"/>
            <w:enabled/>
            <w:calcOnExit w:val="0"/>
            <w:textInput>
              <w:default w:val="当日应计提的托管费=前一日本理财产品资产净值×托管费率÷365"/>
            </w:textInput>
          </w:ffData>
        </w:fldChar>
      </w:r>
      <w:r>
        <w:rPr>
          <w:rFonts w:hint="eastAsia"/>
          <w:b/>
          <w:bCs/>
          <w:kern w:val="0"/>
        </w:rPr>
        <w:instrText xml:space="preserve">FORMTEXT</w:instrText>
      </w:r>
      <w:r>
        <w:rPr>
          <w:rFonts w:hint="eastAsia"/>
          <w:b/>
          <w:bCs/>
          <w:kern w:val="0"/>
        </w:rPr>
        <w:fldChar w:fldCharType="separate"/>
      </w:r>
      <w:r>
        <w:rPr>
          <w:rFonts w:hint="eastAsia"/>
          <w:b/>
          <w:bCs/>
          <w:kern w:val="0"/>
        </w:rPr>
        <w:t>当日应计提的托管费=前一日本理财产品资产净值×托管费率÷365</w:t>
      </w:r>
      <w:r>
        <w:rPr>
          <w:rFonts w:hint="eastAsia"/>
          <w:b/>
          <w:bCs/>
          <w:kern w:val="0"/>
        </w:rPr>
        <w:fldChar w:fldCharType="end"/>
      </w:r>
    </w:p>
    <w:p>
      <w:pPr>
        <w:autoSpaceDE w:val="0"/>
        <w:autoSpaceDN w:val="0"/>
        <w:adjustRightInd w:val="0"/>
        <w:spacing w:line="360" w:lineRule="auto"/>
        <w:ind w:firstLine="422" w:firstLineChars="200"/>
        <w:rPr>
          <w:b/>
          <w:bCs/>
          <w:kern w:val="0"/>
        </w:rPr>
      </w:pPr>
      <w:r>
        <w:rPr>
          <w:b/>
          <w:bCs/>
          <w:kern w:val="0"/>
        </w:rPr>
        <w:t>3.销售费</w:t>
      </w:r>
    </w:p>
    <w:p>
      <w:pPr>
        <w:spacing w:line="360" w:lineRule="auto"/>
        <w:ind w:firstLine="422" w:firstLineChars="200"/>
      </w:pPr>
      <w:r>
        <w:rPr>
          <w:b/>
          <w:bCs/>
          <w:kern w:val="0"/>
        </w:rPr>
        <w:t>本理财产品的销售费率为【</w:t>
      </w:r>
      <w:bookmarkStart w:id="36" w:name="Text104"/>
      <w:r>
        <w:rPr>
          <w:rFonts w:hint="eastAsia"/>
          <w:b/>
          <w:bCs/>
          <w:kern w:val="0"/>
        </w:rPr>
        <w:fldChar w:fldCharType="begin">
          <w:ffData>
            <w:name w:val="Text76"/>
            <w:enabled/>
            <w:calcOnExit w:val="0"/>
            <w:textInput>
              <w:default w:val="0.50%/年"/>
            </w:textInput>
          </w:ffData>
        </w:fldChar>
      </w:r>
      <w:r>
        <w:rPr>
          <w:rFonts w:hint="eastAsia"/>
          <w:b/>
          <w:bCs/>
          <w:kern w:val="0"/>
        </w:rPr>
        <w:instrText xml:space="preserve">FORMTEXT</w:instrText>
      </w:r>
      <w:r>
        <w:rPr>
          <w:rFonts w:hint="eastAsia"/>
          <w:b/>
          <w:bCs/>
          <w:kern w:val="0"/>
        </w:rPr>
        <w:fldChar w:fldCharType="separate"/>
      </w:r>
      <w:r>
        <w:rPr>
          <w:rFonts w:hint="eastAsia"/>
          <w:b/>
          <w:bCs/>
          <w:kern w:val="0"/>
        </w:rPr>
        <w:t>0.50%/年</w:t>
      </w:r>
      <w:r>
        <w:rPr>
          <w:rFonts w:hint="eastAsia"/>
          <w:b/>
          <w:bCs/>
          <w:kern w:val="0"/>
        </w:rPr>
        <w:fldChar w:fldCharType="end"/>
      </w:r>
      <w:bookmarkEnd w:id="36"/>
      <w:r>
        <w:rPr>
          <w:b/>
          <w:bCs/>
          <w:kern w:val="0"/>
        </w:rPr>
        <w:t>】，</w:t>
      </w:r>
      <w:bookmarkStart w:id="37" w:name="欧阳勇"/>
      <w:r>
        <w:rPr>
          <w:rFonts w:ascii="Times New Roman" w:hAnsi="Times New Roman" w:eastAsia="宋体" w:cs="Times New Roman"/>
          <w:b/>
          <w:bCs/>
          <w:kern w:val="0"/>
          <w:sz w:val="21"/>
          <w:szCs w:val="24"/>
          <w:lang w:val="en-US" w:eastAsia="zh-CN" w:bidi="ar-SA"/>
        </w:rPr>
        <w:fldChar w:fldCharType="begin">
          <w:ffData>
            <w:name w:val="欧阳勇"/>
            <w:enabled/>
            <w:calcOnExit w:val="0"/>
            <w:textInput>
              <w:default w:val="于产品成立后按销售机构约定日期一次性支付给销售机构，支付前按日计提，支付后按日摊销"/>
            </w:textInput>
          </w:ffData>
        </w:fldChar>
      </w:r>
      <w:r>
        <w:rPr>
          <w:rFonts w:ascii="Times New Roman" w:hAnsi="Times New Roman" w:eastAsia="宋体" w:cs="Times New Roman"/>
          <w:b/>
          <w:bCs/>
          <w:kern w:val="0"/>
          <w:sz w:val="21"/>
          <w:szCs w:val="24"/>
          <w:lang w:val="en-US" w:eastAsia="zh-CN" w:bidi="ar-SA"/>
        </w:rPr>
        <w:instrText xml:space="preserve">FORMTEXT</w:instrText>
      </w:r>
      <w:r>
        <w:rPr>
          <w:rFonts w:ascii="Times New Roman" w:hAnsi="Times New Roman" w:eastAsia="宋体" w:cs="Times New Roman"/>
          <w:b/>
          <w:bCs/>
          <w:kern w:val="0"/>
          <w:sz w:val="21"/>
          <w:szCs w:val="24"/>
          <w:lang w:val="en-US" w:eastAsia="zh-CN" w:bidi="ar-SA"/>
        </w:rPr>
        <w:fldChar w:fldCharType="separate"/>
      </w:r>
      <w:r>
        <w:rPr>
          <w:rFonts w:ascii="Times New Roman" w:hAnsi="Times New Roman" w:eastAsia="宋体" w:cs="Times New Roman"/>
          <w:b/>
          <w:bCs/>
          <w:kern w:val="0"/>
          <w:sz w:val="21"/>
          <w:szCs w:val="24"/>
          <w:lang w:val="en-US" w:eastAsia="zh-CN" w:bidi="ar-SA"/>
        </w:rPr>
        <w:t>于产品成立后按销售机构约定日期一次性支付给销售机构，支付前按日计提，支付后按日摊销</w:t>
      </w:r>
      <w:r>
        <w:rPr>
          <w:rFonts w:ascii="Times New Roman" w:hAnsi="Times New Roman" w:eastAsia="宋体" w:cs="Times New Roman"/>
          <w:b/>
          <w:bCs/>
          <w:kern w:val="0"/>
          <w:sz w:val="21"/>
          <w:szCs w:val="24"/>
          <w:lang w:val="en-US" w:eastAsia="zh-CN" w:bidi="ar-SA"/>
        </w:rPr>
        <w:fldChar w:fldCharType="end"/>
      </w:r>
      <w:bookmarkEnd w:id="37"/>
      <w:r>
        <w:rPr>
          <w:b/>
          <w:bCs/>
          <w:kern w:val="0"/>
        </w:rPr>
        <w:t>。</w:t>
      </w:r>
    </w:p>
    <w:p>
      <w:pPr>
        <w:autoSpaceDE w:val="0"/>
        <w:autoSpaceDN w:val="0"/>
        <w:adjustRightInd w:val="0"/>
        <w:spacing w:line="360" w:lineRule="auto"/>
        <w:ind w:firstLine="422" w:firstLineChars="200"/>
        <w:rPr>
          <w:b/>
          <w:bCs/>
          <w:kern w:val="0"/>
        </w:rPr>
      </w:pPr>
      <w:r>
        <w:rPr>
          <w:b/>
          <w:bCs/>
          <w:kern w:val="0"/>
        </w:rPr>
        <w:fldChar w:fldCharType="begin">
          <w:ffData>
            <w:name w:val="Arial"/>
            <w:enabled/>
            <w:calcOnExit w:val="0"/>
            <w:textInput>
              <w:default w:val="计算公式如下："/>
            </w:textInput>
          </w:ffData>
        </w:fldChar>
      </w:r>
      <w:r>
        <w:rPr>
          <w:b/>
          <w:bCs/>
          <w:kern w:val="0"/>
        </w:rPr>
        <w:instrText xml:space="preserve">FORMTEXT</w:instrText>
      </w:r>
      <w:r>
        <w:rPr>
          <w:b/>
          <w:bCs/>
          <w:kern w:val="0"/>
        </w:rPr>
        <w:fldChar w:fldCharType="separate"/>
      </w:r>
      <w:r>
        <w:rPr>
          <w:b/>
          <w:bCs/>
          <w:kern w:val="0"/>
        </w:rPr>
        <w:t>计算公式如下：</w:t>
      </w:r>
      <w:r>
        <w:rPr>
          <w:b/>
          <w:bCs/>
          <w:kern w:val="0"/>
        </w:rPr>
        <w:fldChar w:fldCharType="end"/>
      </w:r>
    </w:p>
    <w:p>
      <w:pPr>
        <w:autoSpaceDE w:val="0"/>
        <w:autoSpaceDN w:val="0"/>
        <w:adjustRightInd w:val="0"/>
        <w:spacing w:line="360" w:lineRule="auto"/>
        <w:ind w:firstLine="422" w:firstLineChars="200"/>
        <w:rPr>
          <w:rFonts w:ascii="Times New Roman" w:hAnsi="Times New Roman" w:eastAsia="宋体" w:cs="Times New Roman"/>
          <w:b/>
          <w:bCs/>
          <w:kern w:val="0"/>
          <w:sz w:val="21"/>
          <w:szCs w:val="24"/>
          <w:lang w:val="en-US" w:eastAsia="zh-CN" w:bidi="ar-SA"/>
        </w:rPr>
      </w:pPr>
      <w:r>
        <w:rPr>
          <w:rFonts w:ascii="Times New Roman" w:hAnsi="Times New Roman" w:eastAsia="宋体" w:cs="Times New Roman"/>
          <w:b/>
          <w:bCs/>
          <w:kern w:val="0"/>
          <w:sz w:val="21"/>
          <w:szCs w:val="24"/>
          <w:lang w:val="en-US" w:eastAsia="zh-CN" w:bidi="ar-SA"/>
        </w:rPr>
        <w:fldChar w:fldCharType="begin">
          <w:ffData>
            <w:name w:val="Text87"/>
            <w:enabled/>
            <w:calcOnExit w:val="0"/>
            <w:textInput>
              <w:default w:val="产品总销售费=产品总份额×销售费率×产品期限天数÷365 其中，产品期限天数与产品风险揭示书所约定的产品期限一致，即【1092个自然日】。针对提前违约赎回、强制赎回等场景，在确认赎回兑付金额时，将对未摊销的销售费用进行一次性扣除。"/>
            </w:textInput>
          </w:ffData>
        </w:fldChar>
      </w:r>
      <w:r>
        <w:rPr>
          <w:rFonts w:ascii="Times New Roman" w:hAnsi="Times New Roman" w:eastAsia="宋体" w:cs="Times New Roman"/>
          <w:b/>
          <w:bCs/>
          <w:kern w:val="0"/>
          <w:sz w:val="21"/>
          <w:szCs w:val="24"/>
          <w:lang w:val="en-US" w:eastAsia="zh-CN" w:bidi="ar-SA"/>
        </w:rPr>
        <w:instrText xml:space="preserve">FORMTEXT</w:instrText>
      </w:r>
      <w:r>
        <w:rPr>
          <w:rFonts w:ascii="Times New Roman" w:hAnsi="Times New Roman" w:eastAsia="宋体" w:cs="Times New Roman"/>
          <w:b/>
          <w:bCs/>
          <w:kern w:val="0"/>
          <w:sz w:val="21"/>
          <w:szCs w:val="24"/>
          <w:lang w:val="en-US" w:eastAsia="zh-CN" w:bidi="ar-SA"/>
        </w:rPr>
        <w:fldChar w:fldCharType="separate"/>
      </w:r>
      <w:r>
        <w:rPr>
          <w:rFonts w:ascii="Times New Roman" w:hAnsi="Times New Roman" w:eastAsia="宋体" w:cs="Times New Roman"/>
          <w:b/>
          <w:bCs/>
          <w:kern w:val="0"/>
          <w:sz w:val="21"/>
          <w:szCs w:val="24"/>
          <w:lang w:val="en-US" w:eastAsia="zh-CN" w:bidi="ar-SA"/>
        </w:rPr>
        <w:t xml:space="preserve">产品总销售费=产品总份额×销售费率×产品期限天数÷365 </w:t>
      </w:r>
    </w:p>
    <w:p>
      <w:pPr>
        <w:autoSpaceDE w:val="0"/>
        <w:autoSpaceDN w:val="0"/>
        <w:adjustRightInd w:val="0"/>
        <w:spacing w:line="360" w:lineRule="auto"/>
        <w:ind w:firstLine="422" w:firstLineChars="200"/>
        <w:rPr>
          <w:b/>
          <w:bCs/>
          <w:kern w:val="0"/>
        </w:rPr>
      </w:pPr>
      <w:r>
        <w:rPr>
          <w:rFonts w:ascii="Times New Roman" w:hAnsi="Times New Roman" w:eastAsia="宋体" w:cs="Times New Roman"/>
          <w:b/>
          <w:bCs/>
          <w:kern w:val="0"/>
          <w:sz w:val="21"/>
          <w:szCs w:val="24"/>
          <w:lang w:val="en-US" w:eastAsia="zh-CN" w:bidi="ar-SA"/>
        </w:rPr>
        <w:t>其中，产品期限天数与产品风险揭示书所约定的产品期限一致，即【10</w:t>
      </w:r>
      <w:r>
        <w:rPr>
          <w:rFonts w:hint="eastAsia" w:cs="Times New Roman"/>
          <w:b/>
          <w:bCs/>
          <w:kern w:val="0"/>
          <w:sz w:val="21"/>
          <w:szCs w:val="24"/>
          <w:lang w:val="en-US" w:eastAsia="zh-CN" w:bidi="ar-SA"/>
        </w:rPr>
        <w:t>9</w:t>
      </w:r>
      <w:r>
        <w:rPr>
          <w:rFonts w:ascii="Times New Roman" w:hAnsi="Times New Roman" w:eastAsia="宋体" w:cs="Times New Roman"/>
          <w:b/>
          <w:bCs/>
          <w:kern w:val="0"/>
          <w:sz w:val="21"/>
          <w:szCs w:val="24"/>
          <w:lang w:val="en-US" w:eastAsia="zh-CN" w:bidi="ar-SA"/>
        </w:rPr>
        <w:t>2个自然日】。针对提前违约赎回、强制赎回等场景，在确认赎回兑付金额时，将对未摊销的销售费用进行一次性扣除。</w:t>
      </w:r>
      <w:r>
        <w:rPr>
          <w:rFonts w:ascii="Times New Roman" w:hAnsi="Times New Roman" w:eastAsia="宋体" w:cs="Times New Roman"/>
          <w:b/>
          <w:bCs/>
          <w:kern w:val="0"/>
          <w:sz w:val="21"/>
          <w:szCs w:val="24"/>
          <w:lang w:val="en-US" w:eastAsia="zh-CN" w:bidi="ar-SA"/>
        </w:rPr>
        <w:fldChar w:fldCharType="end"/>
      </w:r>
    </w:p>
    <w:p>
      <w:pPr>
        <w:autoSpaceDE w:val="0"/>
        <w:autoSpaceDN w:val="0"/>
        <w:adjustRightInd w:val="0"/>
        <w:spacing w:line="360" w:lineRule="auto"/>
        <w:ind w:firstLine="422" w:firstLineChars="200"/>
        <w:rPr>
          <w:b/>
          <w:bCs/>
          <w:kern w:val="0"/>
        </w:rPr>
      </w:pPr>
      <w:r>
        <w:rPr>
          <w:b/>
          <w:bCs/>
          <w:kern w:val="0"/>
        </w:rPr>
        <w:t>4.业绩报酬</w:t>
      </w:r>
    </w:p>
    <w:p>
      <w:pPr>
        <w:autoSpaceDE w:val="0"/>
        <w:autoSpaceDN w:val="0"/>
        <w:adjustRightInd w:val="0"/>
        <w:spacing w:line="360" w:lineRule="auto"/>
        <w:ind w:firstLine="422" w:firstLineChars="200"/>
        <w:rPr>
          <w:b/>
          <w:bCs/>
          <w:kern w:val="0"/>
        </w:rPr>
      </w:pPr>
      <w:r>
        <w:rPr>
          <w:b/>
          <w:bCs/>
          <w:kern w:val="0"/>
        </w:rPr>
        <w:fldChar w:fldCharType="begin">
          <w:ffData>
            <w:name w:val="Text17"/>
            <w:enabled/>
            <w:calcOnExit w:val="0"/>
            <w:textInput/>
          </w:ffData>
        </w:fldChar>
      </w:r>
      <w:r>
        <w:rPr>
          <w:b/>
          <w:bCs/>
          <w:kern w:val="0"/>
        </w:rPr>
        <w:instrText xml:space="preserve">FORMTEXT</w:instrText>
      </w:r>
      <w:r>
        <w:rPr>
          <w:b/>
          <w:bCs/>
          <w:kern w:val="0"/>
        </w:rPr>
        <w:fldChar w:fldCharType="separate"/>
      </w:r>
      <w:r>
        <w:rPr>
          <w:b/>
          <w:bCs/>
        </w:rPr>
        <w:t>在</w:t>
      </w:r>
      <w:r>
        <w:rPr>
          <w:rFonts w:hint="eastAsia"/>
          <w:b/>
          <w:bCs/>
        </w:rPr>
        <w:t>本理财产品</w:t>
      </w:r>
      <w:r>
        <w:rPr>
          <w:b/>
          <w:bCs/>
        </w:rPr>
        <w:t>约定的业绩报酬计提周期内，如</w:t>
      </w:r>
      <w:r>
        <w:rPr>
          <w:rFonts w:hint="eastAsia"/>
          <w:b/>
          <w:bCs/>
        </w:rPr>
        <w:t>本理财产品</w:t>
      </w:r>
      <w:r>
        <w:rPr>
          <w:b/>
          <w:bCs/>
        </w:rPr>
        <w:t>的实际年化收益率超过业绩报酬计提基准</w:t>
      </w:r>
      <w:r>
        <w:rPr>
          <w:rFonts w:hint="eastAsia"/>
          <w:b/>
          <w:bCs/>
        </w:rPr>
        <w:t>即【业绩比较基准区间下限】</w:t>
      </w:r>
      <w:r>
        <w:rPr>
          <w:b/>
          <w:bCs/>
        </w:rPr>
        <w:t>，则超出部分为超额收益，管理人将按照超额收益的</w:t>
      </w:r>
      <w:r>
        <w:rPr>
          <w:rFonts w:hint="eastAsia"/>
          <w:b/>
          <w:bCs/>
          <w:lang w:val="en-US" w:eastAsia="zh-CN"/>
        </w:rPr>
        <w:t>4</w:t>
      </w:r>
      <w:r>
        <w:rPr>
          <w:rFonts w:hint="eastAsia"/>
          <w:b/>
          <w:bCs/>
        </w:rPr>
        <w:t>0%</w:t>
      </w:r>
      <w:r>
        <w:rPr>
          <w:b/>
          <w:bCs/>
        </w:rPr>
        <w:t>提取业绩报酬；若无超额收益，管理人不提取业绩报酬。</w:t>
      </w:r>
      <w:r>
        <w:rPr>
          <w:b/>
          <w:bCs/>
          <w:kern w:val="0"/>
        </w:rPr>
        <w:fldChar w:fldCharType="end"/>
      </w:r>
    </w:p>
    <w:p>
      <w:pPr>
        <w:autoSpaceDE w:val="0"/>
        <w:autoSpaceDN w:val="0"/>
        <w:adjustRightInd w:val="0"/>
        <w:spacing w:line="360" w:lineRule="auto"/>
        <w:ind w:firstLine="422" w:firstLineChars="200"/>
        <w:rPr>
          <w:b/>
          <w:bCs/>
          <w:kern w:val="0"/>
        </w:rPr>
      </w:pPr>
      <w:r>
        <w:rPr>
          <w:b/>
          <w:bCs/>
          <w:kern w:val="0"/>
        </w:rPr>
        <w:t>（三）其他费用</w:t>
      </w:r>
    </w:p>
    <w:p>
      <w:pPr>
        <w:autoSpaceDE w:val="0"/>
        <w:autoSpaceDN w:val="0"/>
        <w:adjustRightInd w:val="0"/>
        <w:spacing w:line="360" w:lineRule="auto"/>
        <w:ind w:firstLine="422" w:firstLineChars="200"/>
        <w:rPr>
          <w:b/>
          <w:bCs/>
          <w:color w:val="000000"/>
          <w:kern w:val="44"/>
          <w:szCs w:val="21"/>
        </w:rPr>
      </w:pPr>
      <w:r>
        <w:rPr>
          <w:b/>
          <w:bCs/>
          <w:color w:val="000000"/>
          <w:kern w:val="44"/>
          <w:szCs w:val="21"/>
        </w:rPr>
        <w:t>会计师费、律师费、交易费、手续费等按照国家有关法令规定属于理财资产应列支和承担的一切费用，具体以实际发生为准，按相关法令规定或合同约定支付。</w:t>
      </w:r>
    </w:p>
    <w:p>
      <w:pPr>
        <w:autoSpaceDE w:val="0"/>
        <w:autoSpaceDN w:val="0"/>
        <w:adjustRightInd w:val="0"/>
        <w:spacing w:line="360" w:lineRule="auto"/>
        <w:ind w:firstLine="422" w:firstLineChars="200"/>
        <w:rPr>
          <w:b/>
          <w:bCs/>
          <w:color w:val="000000"/>
          <w:kern w:val="44"/>
          <w:szCs w:val="21"/>
        </w:rPr>
      </w:pPr>
      <w:r>
        <w:rPr>
          <w:b/>
          <w:bCs/>
          <w:color w:val="000000"/>
          <w:kern w:val="44"/>
          <w:szCs w:val="21"/>
        </w:rPr>
        <w:t>（四）税收规定</w:t>
      </w:r>
    </w:p>
    <w:p>
      <w:pPr>
        <w:autoSpaceDE w:val="0"/>
        <w:autoSpaceDN w:val="0"/>
        <w:adjustRightInd w:val="0"/>
        <w:spacing w:line="360" w:lineRule="auto"/>
        <w:ind w:firstLine="422" w:firstLineChars="200"/>
        <w:rPr>
          <w:b/>
          <w:bCs/>
          <w:color w:val="000000"/>
          <w:kern w:val="44"/>
          <w:szCs w:val="21"/>
        </w:rPr>
      </w:pPr>
      <w:r>
        <w:rPr>
          <w:b/>
          <w:bCs/>
          <w:color w:val="000000"/>
          <w:kern w:val="44"/>
          <w:szCs w:val="21"/>
        </w:rPr>
        <w:t>本理财产品运作过程中产生的税金（如增值税及其附加税费、其他应由理财资产承担的税费）、涉及的各纳税主体和纳税义务按国家税收法律、法规执行。</w:t>
      </w:r>
    </w:p>
    <w:p>
      <w:pPr>
        <w:autoSpaceDE w:val="0"/>
        <w:autoSpaceDN w:val="0"/>
        <w:adjustRightInd w:val="0"/>
        <w:spacing w:line="360" w:lineRule="auto"/>
        <w:ind w:firstLine="422" w:firstLineChars="200"/>
        <w:rPr>
          <w:b/>
          <w:bCs/>
          <w:color w:val="000000"/>
          <w:kern w:val="44"/>
          <w:szCs w:val="21"/>
        </w:rPr>
      </w:pPr>
      <w:r>
        <w:rPr>
          <w:b/>
          <w:bCs/>
          <w:color w:val="000000"/>
          <w:kern w:val="44"/>
          <w:szCs w:val="21"/>
        </w:rPr>
        <w:t>若法律法规要求管理人代扣代缴投资者应纳税款的，管理人将依法履行扣缴义务，投资者对此应予以配合。</w:t>
      </w:r>
    </w:p>
    <w:p>
      <w:pPr>
        <w:autoSpaceDE w:val="0"/>
        <w:autoSpaceDN w:val="0"/>
        <w:adjustRightInd w:val="0"/>
        <w:spacing w:line="360" w:lineRule="auto"/>
        <w:ind w:firstLine="422" w:firstLineChars="200"/>
        <w:rPr>
          <w:rFonts w:hint="default" w:ascii="Times New Roman" w:hAnsi="Times New Roman" w:eastAsia="宋体" w:cs="Times New Roman"/>
          <w:b/>
          <w:bCs/>
          <w:color w:val="000000"/>
          <w:kern w:val="44"/>
          <w:sz w:val="21"/>
          <w:szCs w:val="21"/>
          <w:lang w:val="en-US" w:eastAsia="zh-CN" w:bidi="ar-SA"/>
        </w:rPr>
      </w:pPr>
      <w:r>
        <w:rPr>
          <w:b/>
          <w:bCs/>
          <w:color w:val="000000"/>
          <w:kern w:val="44"/>
          <w:szCs w:val="21"/>
        </w:rPr>
        <w:t>本理财产品在资产管理、运营、处置过程中所产生的收入，根据法律法规应缴纳增值税、增值税附加税费或其他税费的，即使管理人被税务机关认定为纳税义务人，该等税费仍属于应由理财资产承担的税费，应在理财资产中列支，并由管理人申报和缴纳，投资者对此无异议且同意充分配合。</w:t>
      </w:r>
      <w:bookmarkStart w:id="38" w:name="Text97"/>
      <w:r>
        <w:rPr>
          <w:rFonts w:hint="eastAsia" w:ascii="Times New Roman" w:hAnsi="Times New Roman" w:eastAsia="宋体" w:cs="Times New Roman"/>
          <w:b/>
          <w:bCs/>
          <w:color w:val="000000"/>
          <w:kern w:val="44"/>
          <w:sz w:val="21"/>
          <w:szCs w:val="21"/>
          <w:lang w:val="en-US" w:eastAsia="zh-CN" w:bidi="ar-SA"/>
        </w:rPr>
        <w:fldChar w:fldCharType="begin">
          <w:ffData>
            <w:name w:val="Text97"/>
            <w:enabled/>
            <w:calcOnExit w:val="0"/>
            <w:textInput/>
          </w:ffData>
        </w:fldChar>
      </w:r>
      <w:r>
        <w:rPr>
          <w:rFonts w:hint="eastAsia" w:ascii="Times New Roman" w:hAnsi="Times New Roman" w:eastAsia="宋体" w:cs="Times New Roman"/>
          <w:b/>
          <w:bCs/>
          <w:color w:val="000000"/>
          <w:kern w:val="44"/>
          <w:sz w:val="21"/>
          <w:szCs w:val="21"/>
          <w:lang w:val="en-US" w:eastAsia="zh-CN" w:bidi="ar-SA"/>
        </w:rPr>
        <w:instrText xml:space="preserve">FORMTEXT</w:instrText>
      </w:r>
      <w:r>
        <w:rPr>
          <w:rFonts w:hint="eastAsia" w:ascii="Times New Roman" w:hAnsi="Times New Roman" w:eastAsia="宋体" w:cs="Times New Roman"/>
          <w:b/>
          <w:bCs/>
          <w:color w:val="000000"/>
          <w:kern w:val="44"/>
          <w:sz w:val="21"/>
          <w:szCs w:val="21"/>
          <w:lang w:val="en-US" w:eastAsia="zh-CN" w:bidi="ar-SA"/>
        </w:rPr>
        <w:fldChar w:fldCharType="separate"/>
      </w:r>
      <w:r>
        <w:rPr>
          <w:rFonts w:hint="default" w:ascii="Times New Roman" w:hAnsi="Times New Roman" w:eastAsia="宋体" w:cs="Times New Roman"/>
          <w:b/>
          <w:bCs/>
          <w:color w:val="000000"/>
          <w:kern w:val="44"/>
          <w:sz w:val="21"/>
          <w:szCs w:val="21"/>
          <w:lang w:val="en-US" w:eastAsia="zh-CN" w:bidi="ar-SA"/>
        </w:rPr>
        <w:t>    </w:t>
      </w:r>
    </w:p>
    <w:p>
      <w:pPr>
        <w:autoSpaceDE w:val="0"/>
        <w:autoSpaceDN w:val="0"/>
        <w:adjustRightInd w:val="0"/>
        <w:spacing w:line="360" w:lineRule="auto"/>
        <w:ind w:firstLine="422" w:firstLineChars="200"/>
        <w:rPr>
          <w:rFonts w:hint="default" w:ascii="Times New Roman" w:hAnsi="Times New Roman" w:eastAsia="宋体" w:cs="Times New Roman"/>
          <w:b/>
          <w:bCs/>
          <w:color w:val="000000"/>
          <w:kern w:val="44"/>
          <w:sz w:val="21"/>
          <w:szCs w:val="21"/>
          <w:lang w:val="en-US" w:eastAsia="zh-CN" w:bidi="ar-SA"/>
        </w:rPr>
      </w:pPr>
      <w:r>
        <w:rPr>
          <w:rFonts w:hint="default" w:ascii="Times New Roman" w:hAnsi="Times New Roman" w:eastAsia="宋体" w:cs="Times New Roman"/>
          <w:b/>
          <w:bCs/>
          <w:color w:val="000000"/>
          <w:kern w:val="44"/>
          <w:sz w:val="21"/>
          <w:szCs w:val="21"/>
          <w:lang w:val="en-US" w:eastAsia="zh-CN" w:bidi="ar-SA"/>
        </w:rPr>
        <w:t xml:space="preserve">（五）质押 </w:t>
      </w:r>
    </w:p>
    <w:p>
      <w:pPr>
        <w:autoSpaceDE w:val="0"/>
        <w:autoSpaceDN w:val="0"/>
        <w:adjustRightInd w:val="0"/>
        <w:spacing w:line="360" w:lineRule="auto"/>
        <w:ind w:firstLine="422" w:firstLineChars="200"/>
        <w:rPr>
          <w:rFonts w:hint="eastAsia" w:cs="Times New Roman"/>
          <w:b/>
          <w:bCs/>
          <w:color w:val="000000"/>
          <w:kern w:val="44"/>
          <w:sz w:val="21"/>
          <w:szCs w:val="21"/>
          <w:lang w:val="en-US" w:eastAsia="zh-CN" w:bidi="ar-SA"/>
        </w:rPr>
      </w:pPr>
      <w:r>
        <w:rPr>
          <w:rFonts w:hint="default" w:ascii="Times New Roman" w:hAnsi="Times New Roman" w:eastAsia="宋体" w:cs="Times New Roman"/>
          <w:b/>
          <w:bCs/>
          <w:color w:val="000000"/>
          <w:kern w:val="44"/>
          <w:sz w:val="21"/>
          <w:szCs w:val="21"/>
          <w:lang w:val="en-US" w:eastAsia="zh-CN" w:bidi="ar-SA"/>
        </w:rPr>
        <w:t>本理财产品可用于投资者本人（不包含“跨境理财通”业务项下的港澳投资者）在中国民生银行办理贷款提供质押担保，未经产品管理人同意，不得用于向第三方机构办理质押或采取其他任何处分措施</w:t>
      </w:r>
      <w:r>
        <w:rPr>
          <w:rFonts w:hint="eastAsia" w:cs="Times New Roman"/>
          <w:b/>
          <w:bCs/>
          <w:color w:val="000000"/>
          <w:kern w:val="44"/>
          <w:sz w:val="21"/>
          <w:szCs w:val="21"/>
          <w:lang w:val="en-US" w:eastAsia="zh-CN" w:bidi="ar-SA"/>
        </w:rPr>
        <w:t>。</w:t>
      </w:r>
    </w:p>
    <w:p>
      <w:pPr>
        <w:autoSpaceDE w:val="0"/>
        <w:autoSpaceDN w:val="0"/>
        <w:adjustRightInd w:val="0"/>
        <w:spacing w:line="360" w:lineRule="auto"/>
        <w:ind w:firstLine="422" w:firstLineChars="200"/>
        <w:rPr>
          <w:rFonts w:hint="eastAsia" w:cs="Times New Roman"/>
          <w:b/>
          <w:bCs/>
          <w:color w:val="000000"/>
          <w:kern w:val="44"/>
          <w:sz w:val="21"/>
          <w:szCs w:val="21"/>
          <w:lang w:val="en-US" w:eastAsia="zh-CN" w:bidi="ar-SA"/>
        </w:rPr>
      </w:pPr>
      <w:r>
        <w:rPr>
          <w:rFonts w:hint="eastAsia" w:cs="Times New Roman"/>
          <w:b/>
          <w:bCs/>
          <w:color w:val="000000"/>
          <w:kern w:val="44"/>
          <w:sz w:val="21"/>
          <w:szCs w:val="21"/>
          <w:lang w:val="en-US" w:eastAsia="zh-CN" w:bidi="ar-SA"/>
        </w:rPr>
        <w:t>投资者同意在中国民生银行的净值型理财质押贷款本息到期未清偿、或触发质押合同约定的平仓线、本理财产品提前终止、或其他满足行使担保权利的情形下，产品管理人依照中国民生银行委托有权对理财产品对应份额发起强制赎回，中国民生银行以赎回款项/清算款项优先偿还投资者名下中国民生银行个人消费借款业务借款合同及个人消费借款业务担保合同项下贷款本息，清偿债务后的余额资金（如有）划入投资者交易账户。</w:t>
      </w:r>
    </w:p>
    <w:p>
      <w:pPr>
        <w:autoSpaceDE w:val="0"/>
        <w:autoSpaceDN w:val="0"/>
        <w:adjustRightInd w:val="0"/>
        <w:spacing w:line="360" w:lineRule="auto"/>
        <w:ind w:firstLine="422" w:firstLineChars="200"/>
        <w:rPr>
          <w:b/>
          <w:bCs/>
          <w:color w:val="000000"/>
          <w:kern w:val="44"/>
          <w:szCs w:val="21"/>
        </w:rPr>
      </w:pPr>
      <w:r>
        <w:rPr>
          <w:rFonts w:hint="eastAsia" w:cs="Times New Roman"/>
          <w:b/>
          <w:bCs/>
          <w:color w:val="000000"/>
          <w:kern w:val="44"/>
          <w:sz w:val="21"/>
          <w:szCs w:val="21"/>
          <w:lang w:val="en-US" w:eastAsia="zh-CN" w:bidi="ar-SA"/>
        </w:rPr>
        <w:t>“跨境理财通”业务项下的港澳投资者所购买的本产品不得用作质押等担保用途</w:t>
      </w:r>
      <w:r>
        <w:rPr>
          <w:rFonts w:hint="default" w:ascii="Times New Roman" w:hAnsi="Times New Roman" w:eastAsia="宋体" w:cs="Times New Roman"/>
          <w:b/>
          <w:bCs/>
          <w:color w:val="000000"/>
          <w:kern w:val="44"/>
          <w:sz w:val="21"/>
          <w:szCs w:val="21"/>
          <w:lang w:val="en-US" w:eastAsia="zh-CN" w:bidi="ar-SA"/>
        </w:rPr>
        <w:t>。 </w:t>
      </w:r>
      <w:r>
        <w:rPr>
          <w:rFonts w:hint="eastAsia" w:ascii="Times New Roman" w:hAnsi="Times New Roman" w:eastAsia="宋体" w:cs="Times New Roman"/>
          <w:b/>
          <w:bCs/>
          <w:color w:val="000000"/>
          <w:kern w:val="44"/>
          <w:sz w:val="21"/>
          <w:szCs w:val="21"/>
          <w:lang w:val="en-US" w:eastAsia="zh-CN" w:bidi="ar-SA"/>
        </w:rPr>
        <w:fldChar w:fldCharType="end"/>
      </w:r>
      <w:bookmarkEnd w:id="38"/>
    </w:p>
    <w:p>
      <w:pPr>
        <w:spacing w:line="360" w:lineRule="auto"/>
        <w:ind w:firstLine="422" w:firstLineChars="200"/>
        <w:rPr>
          <w:rFonts w:hint="eastAsia"/>
          <w:b/>
          <w:bCs/>
          <w:lang w:bidi="ar"/>
        </w:rPr>
      </w:pPr>
      <w:bookmarkStart w:id="39" w:name="Text89"/>
      <w:r>
        <w:rPr>
          <w:rFonts w:hint="eastAsia" w:ascii="Times New Roman" w:hAnsi="Times New Roman" w:eastAsia="宋体" w:cs="Times New Roman"/>
          <w:b/>
          <w:bCs/>
          <w:kern w:val="2"/>
          <w:sz w:val="21"/>
          <w:szCs w:val="24"/>
          <w:lang w:val="en-US" w:eastAsia="zh-CN" w:bidi="ar"/>
        </w:rPr>
        <w:fldChar w:fldCharType="begin">
          <w:ffData>
            <w:name w:val="Text89"/>
            <w:enabled/>
            <w:calcOnExit w:val="0"/>
            <w:textInput>
              <w:default w:val="（六）"/>
            </w:textInput>
          </w:ffData>
        </w:fldChar>
      </w:r>
      <w:r>
        <w:rPr>
          <w:rFonts w:hint="eastAsia" w:ascii="Times New Roman" w:hAnsi="Times New Roman" w:eastAsia="宋体" w:cs="Times New Roman"/>
          <w:b/>
          <w:bCs/>
          <w:kern w:val="2"/>
          <w:sz w:val="21"/>
          <w:szCs w:val="24"/>
          <w:lang w:val="en-US" w:eastAsia="zh-CN" w:bidi="ar"/>
        </w:rPr>
        <w:instrText xml:space="preserve">FORMTEXT</w:instrText>
      </w:r>
      <w:r>
        <w:rPr>
          <w:rFonts w:hint="eastAsia" w:ascii="Times New Roman" w:hAnsi="Times New Roman" w:eastAsia="宋体" w:cs="Times New Roman"/>
          <w:b/>
          <w:bCs/>
          <w:kern w:val="2"/>
          <w:sz w:val="21"/>
          <w:szCs w:val="24"/>
          <w:lang w:val="en-US" w:eastAsia="zh-CN" w:bidi="ar"/>
        </w:rPr>
        <w:fldChar w:fldCharType="separate"/>
      </w:r>
      <w:r>
        <w:rPr>
          <w:rFonts w:hint="eastAsia" w:ascii="Times New Roman" w:hAnsi="Times New Roman" w:eastAsia="宋体" w:cs="Times New Roman"/>
          <w:b/>
          <w:bCs/>
          <w:kern w:val="2"/>
          <w:sz w:val="21"/>
          <w:szCs w:val="24"/>
          <w:lang w:val="en-US" w:eastAsia="zh-CN" w:bidi="ar"/>
        </w:rPr>
        <w:t>（六）</w:t>
      </w:r>
      <w:r>
        <w:rPr>
          <w:rFonts w:hint="eastAsia" w:ascii="Times New Roman" w:hAnsi="Times New Roman" w:eastAsia="宋体" w:cs="Times New Roman"/>
          <w:b/>
          <w:bCs/>
          <w:kern w:val="2"/>
          <w:sz w:val="21"/>
          <w:szCs w:val="24"/>
          <w:lang w:val="en-US" w:eastAsia="zh-CN" w:bidi="ar"/>
        </w:rPr>
        <w:fldChar w:fldCharType="end"/>
      </w:r>
      <w:bookmarkEnd w:id="39"/>
      <w:r>
        <w:rPr>
          <w:rFonts w:hint="eastAsia"/>
          <w:b/>
          <w:bCs/>
          <w:lang w:bidi="ar"/>
        </w:rPr>
        <w:t>其他事项</w:t>
      </w:r>
    </w:p>
    <w:p>
      <w:pPr>
        <w:spacing w:line="360" w:lineRule="auto"/>
        <w:ind w:firstLine="422" w:firstLineChars="200"/>
        <w:rPr>
          <w:rFonts w:hint="eastAsia"/>
          <w:b/>
          <w:bCs/>
        </w:rPr>
      </w:pPr>
      <w:r>
        <w:rPr>
          <w:rFonts w:hint="eastAsia"/>
          <w:b/>
          <w:bCs/>
          <w:lang w:bidi="ar"/>
        </w:rPr>
        <w:t>在不损害投资者利益的前提下，如管理人出于维持本理财产品正常运营的需要或国家法律法规、监管规定发生变化，需要对已约定的收费项目、条件、标准和方式进行调整时，管理人将按照有关规定进行信息披露后方可调整</w:t>
      </w:r>
      <w:r>
        <w:rPr>
          <w:rFonts w:hint="eastAsia"/>
          <w:b/>
          <w:bCs/>
        </w:rPr>
        <w:t>。</w:t>
      </w:r>
    </w:p>
    <w:p>
      <w:pPr>
        <w:spacing w:line="360" w:lineRule="auto"/>
        <w:ind w:firstLine="422" w:firstLineChars="200"/>
        <w:rPr>
          <w:rFonts w:hint="eastAsia"/>
          <w:b/>
          <w:bCs/>
        </w:rPr>
      </w:pPr>
    </w:p>
    <w:p>
      <w:pPr>
        <w:spacing w:line="360" w:lineRule="auto"/>
        <w:rPr>
          <w:b/>
          <w:bCs/>
          <w:lang w:bidi="ar"/>
        </w:rPr>
      </w:pPr>
      <w:r>
        <w:rPr>
          <w:rFonts w:hint="eastAsia"/>
          <w:b/>
          <w:bCs/>
          <w:lang w:bidi="ar"/>
        </w:rPr>
        <w:t>八</w:t>
      </w:r>
      <w:r>
        <w:rPr>
          <w:b/>
          <w:bCs/>
          <w:lang w:bidi="ar"/>
        </w:rPr>
        <w:t>、理财产品估值</w:t>
      </w:r>
    </w:p>
    <w:p>
      <w:pPr>
        <w:spacing w:line="360" w:lineRule="auto"/>
        <w:ind w:firstLine="422" w:firstLineChars="200"/>
        <w:rPr>
          <w:b/>
          <w:bCs/>
          <w:kern w:val="0"/>
          <w:szCs w:val="21"/>
        </w:rPr>
      </w:pPr>
      <w:r>
        <w:rPr>
          <w:b/>
          <w:bCs/>
          <w:kern w:val="0"/>
          <w:szCs w:val="21"/>
        </w:rPr>
        <w:t>（一）估值日</w:t>
      </w:r>
    </w:p>
    <w:p>
      <w:pPr>
        <w:spacing w:line="360" w:lineRule="auto"/>
        <w:ind w:firstLine="420" w:firstLineChars="200"/>
        <w:rPr>
          <w:kern w:val="0"/>
          <w:szCs w:val="21"/>
        </w:rPr>
      </w:pPr>
      <w:r>
        <w:rPr>
          <w:kern w:val="0"/>
          <w:szCs w:val="21"/>
        </w:rPr>
        <w:fldChar w:fldCharType="begin">
          <w:ffData>
            <w:name w:val="Text33"/>
            <w:enabled/>
            <w:calcOnExit w:val="0"/>
            <w:textInput>
              <w:default w:val="本理财产品按周进行估值，具体估值日由管理人根据实际情况确定，遇节假日顺延。本理财产品的估值日还包括产品到期日、管理人认为有必要或监管及法律法规要求的其他日期。"/>
            </w:textInput>
          </w:ffData>
        </w:fldChar>
      </w:r>
      <w:r>
        <w:rPr>
          <w:kern w:val="0"/>
          <w:szCs w:val="21"/>
        </w:rPr>
        <w:instrText xml:space="preserve">FORMTEXT</w:instrText>
      </w:r>
      <w:r>
        <w:rPr>
          <w:kern w:val="0"/>
          <w:szCs w:val="21"/>
        </w:rPr>
        <w:fldChar w:fldCharType="separate"/>
      </w:r>
      <w:r>
        <w:rPr>
          <w:kern w:val="0"/>
          <w:szCs w:val="21"/>
        </w:rPr>
        <w:t>本理财产品按周进行估值，具体估值日由管理人根据实际情况确定，遇节假日顺延。本理财产品的估值日还包括产品到期日、管理人认为有必要或监管及法律法规要求的其他日期。</w:t>
      </w:r>
      <w:r>
        <w:rPr>
          <w:kern w:val="0"/>
          <w:szCs w:val="21"/>
        </w:rPr>
        <w:fldChar w:fldCharType="end"/>
      </w:r>
    </w:p>
    <w:p>
      <w:pPr>
        <w:spacing w:line="360" w:lineRule="auto"/>
        <w:ind w:firstLine="422" w:firstLineChars="200"/>
        <w:rPr>
          <w:b/>
          <w:bCs/>
          <w:kern w:val="0"/>
          <w:szCs w:val="21"/>
        </w:rPr>
      </w:pPr>
      <w:r>
        <w:rPr>
          <w:b/>
          <w:bCs/>
          <w:kern w:val="0"/>
          <w:szCs w:val="21"/>
        </w:rPr>
        <w:t>（二）估值对象</w:t>
      </w:r>
    </w:p>
    <w:p>
      <w:pPr>
        <w:spacing w:line="360" w:lineRule="auto"/>
        <w:ind w:firstLine="420" w:firstLineChars="200"/>
        <w:rPr>
          <w:kern w:val="0"/>
          <w:szCs w:val="21"/>
        </w:rPr>
      </w:pPr>
      <w:r>
        <w:rPr>
          <w:kern w:val="0"/>
          <w:szCs w:val="21"/>
        </w:rPr>
        <w:fldChar w:fldCharType="begin">
          <w:ffData>
            <w:name w:val="Text23"/>
            <w:enabled/>
            <w:calcOnExit w:val="0"/>
            <w:textInput>
              <w:default w:val="本理财产品所持有的各类有价证券、银行存款、应收款项、其他资产及负债。"/>
            </w:textInput>
          </w:ffData>
        </w:fldChar>
      </w:r>
      <w:r>
        <w:rPr>
          <w:kern w:val="0"/>
          <w:szCs w:val="21"/>
        </w:rPr>
        <w:instrText xml:space="preserve">FORMTEXT</w:instrText>
      </w:r>
      <w:r>
        <w:rPr>
          <w:kern w:val="0"/>
          <w:szCs w:val="21"/>
        </w:rPr>
        <w:fldChar w:fldCharType="separate"/>
      </w:r>
      <w:r>
        <w:rPr>
          <w:kern w:val="0"/>
          <w:szCs w:val="21"/>
        </w:rPr>
        <w:t>本理财产品所持有的各类有价证券、银行存款、应收款项、其他资产及负债。</w:t>
      </w:r>
      <w:r>
        <w:rPr>
          <w:kern w:val="0"/>
          <w:szCs w:val="21"/>
        </w:rPr>
        <w:fldChar w:fldCharType="end"/>
      </w:r>
    </w:p>
    <w:p>
      <w:pPr>
        <w:spacing w:line="360" w:lineRule="auto"/>
        <w:ind w:firstLine="422" w:firstLineChars="200"/>
        <w:rPr>
          <w:b/>
          <w:bCs/>
          <w:kern w:val="0"/>
          <w:szCs w:val="21"/>
        </w:rPr>
      </w:pPr>
      <w:r>
        <w:rPr>
          <w:b/>
          <w:bCs/>
          <w:kern w:val="0"/>
          <w:szCs w:val="21"/>
        </w:rPr>
        <w:t>（三）估值原则</w:t>
      </w:r>
    </w:p>
    <w:p>
      <w:pPr>
        <w:spacing w:line="360" w:lineRule="auto"/>
        <w:ind w:firstLine="420" w:firstLineChars="200"/>
        <w:rPr>
          <w:kern w:val="0"/>
          <w:szCs w:val="21"/>
        </w:rPr>
      </w:pPr>
      <w:r>
        <w:rPr>
          <w:kern w:val="0"/>
          <w:szCs w:val="21"/>
        </w:rPr>
        <w:fldChar w:fldCharType="begin">
          <w:ffData>
            <w:name w:val="Text41"/>
            <w:enabled/>
            <w:calcOnExit w:val="0"/>
            <w:textInput>
              <w:default w:val="1. 本理财产品估值的目的是公允、合理地反映理财产品的价值。对存在活跃市场且能够获得相应资产或负债报价的投资品种，在估值日有报价的，原则上采用该报价确定资产或负债的公允价值；估值日无报价且最近交易日后未发生影响公允价值计量的重大事件的，采用最近交易日的报价确定公允价值；有充足证据表明估值日或最近交易日的报价不能真实反映公允价值的，对报价调整后确定公允价值。对不存在活跃市场的投资品种，采用第三方估值数据或估值技术进行估值。"/>
            </w:textInput>
          </w:ffData>
        </w:fldChar>
      </w:r>
      <w:r>
        <w:rPr>
          <w:kern w:val="0"/>
          <w:szCs w:val="21"/>
        </w:rPr>
        <w:instrText xml:space="preserve">FORMTEXT</w:instrText>
      </w:r>
      <w:r>
        <w:rPr>
          <w:kern w:val="0"/>
          <w:szCs w:val="21"/>
        </w:rPr>
        <w:fldChar w:fldCharType="separate"/>
      </w:r>
      <w:r>
        <w:rPr>
          <w:kern w:val="0"/>
          <w:szCs w:val="21"/>
        </w:rPr>
        <w:t>1. 本理财产品估值的目的是公允、合理地反映理财产品的价值。对存在活跃市场且能够获得相应资产或负债报价的投资品种，在估值日有报价的，原则上采用该报价确定资产或负债的公允价值；估值日无报价且最近交易日后未发生影响公允价值计量的重大事件的，采用最近交易日的报价确定公允价值；有充足证据表明估值日或最近交易日的报价不能真实反映公允价值的，对报价调整后确定公允价值。对不存在活跃市场的投资品种，采用第三方估值数据或估值技术进行估值。</w:t>
      </w:r>
      <w:r>
        <w:rPr>
          <w:kern w:val="0"/>
          <w:szCs w:val="21"/>
        </w:rPr>
        <w:fldChar w:fldCharType="end"/>
      </w:r>
      <w:r>
        <w:rPr>
          <w:kern w:val="0"/>
          <w:szCs w:val="21"/>
        </w:rPr>
        <w:t>　</w:t>
      </w:r>
    </w:p>
    <w:p>
      <w:pPr>
        <w:spacing w:line="360" w:lineRule="auto"/>
        <w:ind w:firstLine="420" w:firstLineChars="200"/>
        <w:rPr>
          <w:kern w:val="0"/>
          <w:szCs w:val="21"/>
        </w:rPr>
      </w:pPr>
      <w:r>
        <w:rPr>
          <w:kern w:val="0"/>
          <w:szCs w:val="21"/>
        </w:rPr>
        <w:fldChar w:fldCharType="begin">
          <w:ffData>
            <w:name w:val="Text32"/>
            <w:enabled/>
            <w:calcOnExit w:val="0"/>
            <w:textInput>
              <w:default w:val="本封闭式理财产品所投资的金融资产，符合以下条件之一的，可按照企业会计准则以摊余成本进行计量："/>
            </w:textInput>
          </w:ffData>
        </w:fldChar>
      </w:r>
      <w:r>
        <w:rPr>
          <w:kern w:val="0"/>
          <w:szCs w:val="21"/>
        </w:rPr>
        <w:instrText xml:space="preserve">FORMTEXT</w:instrText>
      </w:r>
      <w:r>
        <w:rPr>
          <w:kern w:val="0"/>
          <w:szCs w:val="21"/>
        </w:rPr>
        <w:fldChar w:fldCharType="separate"/>
      </w:r>
      <w:r>
        <w:rPr>
          <w:kern w:val="0"/>
          <w:szCs w:val="21"/>
        </w:rPr>
        <w:t>本封闭式理财产品所投资的金融资产，符合以下条件之一的，可按照企业会计准则以摊余成本进行计量：</w:t>
      </w:r>
      <w:r>
        <w:rPr>
          <w:kern w:val="0"/>
          <w:szCs w:val="21"/>
        </w:rPr>
        <w:fldChar w:fldCharType="end"/>
      </w:r>
    </w:p>
    <w:p>
      <w:pPr>
        <w:spacing w:line="360" w:lineRule="auto"/>
        <w:ind w:firstLine="420" w:firstLineChars="200"/>
        <w:rPr>
          <w:kern w:val="0"/>
          <w:szCs w:val="21"/>
        </w:rPr>
      </w:pPr>
      <w:r>
        <w:rPr>
          <w:kern w:val="0"/>
          <w:szCs w:val="21"/>
        </w:rPr>
        <w:fldChar w:fldCharType="begin">
          <w:ffData>
            <w:name w:val="Text32"/>
            <w:enabled/>
            <w:calcOnExit w:val="0"/>
            <w:textInput>
              <w:default w:val="（1）所投金融资产以收取合同现金流量为目的并持有到期。"/>
            </w:textInput>
          </w:ffData>
        </w:fldChar>
      </w:r>
      <w:r>
        <w:rPr>
          <w:kern w:val="0"/>
          <w:szCs w:val="21"/>
        </w:rPr>
        <w:instrText xml:space="preserve">FORMTEXT</w:instrText>
      </w:r>
      <w:r>
        <w:rPr>
          <w:kern w:val="0"/>
          <w:szCs w:val="21"/>
        </w:rPr>
        <w:fldChar w:fldCharType="separate"/>
      </w:r>
      <w:r>
        <w:rPr>
          <w:kern w:val="0"/>
          <w:szCs w:val="21"/>
        </w:rPr>
        <w:t>（1）所投金融资产以收取合同现金流量为目的并持有到期。</w:t>
      </w:r>
      <w:r>
        <w:rPr>
          <w:kern w:val="0"/>
          <w:szCs w:val="21"/>
        </w:rPr>
        <w:fldChar w:fldCharType="end"/>
      </w:r>
    </w:p>
    <w:p>
      <w:pPr>
        <w:spacing w:line="360" w:lineRule="auto"/>
        <w:ind w:firstLine="420" w:firstLineChars="200"/>
        <w:rPr>
          <w:kern w:val="0"/>
          <w:szCs w:val="21"/>
        </w:rPr>
      </w:pPr>
      <w:r>
        <w:rPr>
          <w:kern w:val="0"/>
          <w:szCs w:val="21"/>
        </w:rPr>
        <w:fldChar w:fldCharType="begin">
          <w:ffData>
            <w:name w:val="Text32"/>
            <w:enabled/>
            <w:calcOnExit w:val="0"/>
            <w:textInput>
              <w:default w:val="（2）所投金融资产暂不具备活跃交易市场，或者在活跃市场中没有报价、也不能采用估值技术可靠计量公允价值。"/>
            </w:textInput>
          </w:ffData>
        </w:fldChar>
      </w:r>
      <w:r>
        <w:rPr>
          <w:kern w:val="0"/>
          <w:szCs w:val="21"/>
        </w:rPr>
        <w:instrText xml:space="preserve">FORMTEXT</w:instrText>
      </w:r>
      <w:r>
        <w:rPr>
          <w:kern w:val="0"/>
          <w:szCs w:val="21"/>
        </w:rPr>
        <w:fldChar w:fldCharType="separate"/>
      </w:r>
      <w:r>
        <w:rPr>
          <w:kern w:val="0"/>
          <w:szCs w:val="21"/>
        </w:rPr>
        <w:t>（2）所投金融资产暂不具备活跃交易市场，或者在活跃市场中没有报价、也不能采用估值技术可靠计量公允价值。</w:t>
      </w:r>
      <w:r>
        <w:rPr>
          <w:kern w:val="0"/>
          <w:szCs w:val="21"/>
        </w:rPr>
        <w:fldChar w:fldCharType="end"/>
      </w:r>
    </w:p>
    <w:p>
      <w:pPr>
        <w:spacing w:line="360" w:lineRule="auto"/>
        <w:ind w:firstLine="420" w:firstLineChars="200"/>
        <w:rPr>
          <w:kern w:val="0"/>
          <w:szCs w:val="21"/>
        </w:rPr>
      </w:pPr>
      <w:bookmarkStart w:id="40" w:name="Text32"/>
      <w:r>
        <w:rPr>
          <w:kern w:val="0"/>
          <w:szCs w:val="21"/>
        </w:rPr>
        <w:fldChar w:fldCharType="begin">
          <w:ffData>
            <w:name w:val="Text32"/>
            <w:enabled/>
            <w:calcOnExit w:val="0"/>
            <w:textInput>
              <w:default w:val="对以摊余成本计量的金融资产，管理人持续评估其信用风险自初始确认后是否已显著增加，以预期信用损失为基础，确认减值准备。"/>
            </w:textInput>
          </w:ffData>
        </w:fldChar>
      </w:r>
      <w:r>
        <w:rPr>
          <w:kern w:val="0"/>
          <w:szCs w:val="21"/>
        </w:rPr>
        <w:instrText xml:space="preserve">FORMTEXT</w:instrText>
      </w:r>
      <w:r>
        <w:rPr>
          <w:kern w:val="0"/>
          <w:szCs w:val="21"/>
        </w:rPr>
        <w:fldChar w:fldCharType="separate"/>
      </w:r>
      <w:r>
        <w:rPr>
          <w:kern w:val="0"/>
          <w:szCs w:val="21"/>
        </w:rPr>
        <w:t>对以摊余成本计量的金融资产，管理人持续评估其信用风险自初始确认后是否已显著增加，以预期信用损失为基础，确认减值准备。</w:t>
      </w:r>
      <w:r>
        <w:rPr>
          <w:kern w:val="0"/>
          <w:szCs w:val="21"/>
        </w:rPr>
        <w:fldChar w:fldCharType="end"/>
      </w:r>
      <w:bookmarkEnd w:id="40"/>
    </w:p>
    <w:p>
      <w:pPr>
        <w:spacing w:line="360" w:lineRule="auto"/>
        <w:ind w:firstLine="420" w:firstLineChars="200"/>
        <w:rPr>
          <w:kern w:val="0"/>
          <w:szCs w:val="21"/>
        </w:rPr>
      </w:pPr>
      <w:r>
        <w:rPr>
          <w:kern w:val="0"/>
          <w:szCs w:val="21"/>
        </w:rPr>
        <w:fldChar w:fldCharType="begin">
          <w:ffData>
            <w:name w:val="Text43"/>
            <w:enabled/>
            <w:calcOnExit w:val="0"/>
            <w:textInput>
              <w:default w:val="2. 如有确凿证据表明按以上估值原则进行估值不能客观反映资产或负债公允价值的，管理人可根据具体情况与产品托管人商定后，按最能反映公允价值的价格估值。"/>
            </w:textInput>
          </w:ffData>
        </w:fldChar>
      </w:r>
      <w:r>
        <w:rPr>
          <w:kern w:val="0"/>
          <w:szCs w:val="21"/>
        </w:rPr>
        <w:instrText xml:space="preserve">FORMTEXT</w:instrText>
      </w:r>
      <w:r>
        <w:rPr>
          <w:kern w:val="0"/>
          <w:szCs w:val="21"/>
        </w:rPr>
        <w:fldChar w:fldCharType="separate"/>
      </w:r>
      <w:r>
        <w:rPr>
          <w:kern w:val="0"/>
          <w:szCs w:val="21"/>
        </w:rPr>
        <w:t>2. 如有确凿证据表明按以上估值原则进行估值不能客观反映资产或负债公允价值的，管理人可根据具体情况与产品托管人商定后，按最能反映公允价值的价格估值。</w:t>
      </w:r>
      <w:r>
        <w:rPr>
          <w:kern w:val="0"/>
          <w:szCs w:val="21"/>
        </w:rPr>
        <w:fldChar w:fldCharType="end"/>
      </w:r>
    </w:p>
    <w:p>
      <w:pPr>
        <w:spacing w:line="360" w:lineRule="auto"/>
        <w:ind w:firstLine="420" w:firstLineChars="200"/>
        <w:rPr>
          <w:kern w:val="0"/>
          <w:szCs w:val="21"/>
        </w:rPr>
      </w:pPr>
      <w:r>
        <w:rPr>
          <w:kern w:val="0"/>
          <w:szCs w:val="21"/>
        </w:rPr>
        <w:fldChar w:fldCharType="begin">
          <w:ffData>
            <w:name w:val="Text115"/>
            <w:enabled/>
            <w:calcOnExit w:val="0"/>
            <w:textInput>
              <w:default w:val="3. 如法律法规和监管部门有另行规定的，从其规定。"/>
            </w:textInput>
          </w:ffData>
        </w:fldChar>
      </w:r>
      <w:r>
        <w:rPr>
          <w:kern w:val="0"/>
          <w:szCs w:val="21"/>
        </w:rPr>
        <w:instrText xml:space="preserve">FORMTEXT</w:instrText>
      </w:r>
      <w:r>
        <w:rPr>
          <w:kern w:val="0"/>
          <w:szCs w:val="21"/>
        </w:rPr>
        <w:fldChar w:fldCharType="separate"/>
      </w:r>
      <w:r>
        <w:rPr>
          <w:kern w:val="0"/>
          <w:szCs w:val="21"/>
        </w:rPr>
        <w:t>3. 如法律法规和监管部门有另行规定的，从其规定。</w:t>
      </w:r>
      <w:r>
        <w:rPr>
          <w:kern w:val="0"/>
          <w:szCs w:val="21"/>
        </w:rPr>
        <w:fldChar w:fldCharType="end"/>
      </w:r>
    </w:p>
    <w:p>
      <w:pPr>
        <w:spacing w:line="360" w:lineRule="auto"/>
        <w:ind w:firstLine="422" w:firstLineChars="200"/>
        <w:rPr>
          <w:b/>
          <w:bCs/>
          <w:kern w:val="0"/>
          <w:szCs w:val="21"/>
        </w:rPr>
      </w:pPr>
      <w:r>
        <w:rPr>
          <w:b/>
          <w:bCs/>
          <w:kern w:val="0"/>
          <w:szCs w:val="21"/>
        </w:rPr>
        <w:t>（四）估值方法</w:t>
      </w:r>
    </w:p>
    <w:p>
      <w:pPr>
        <w:spacing w:line="360" w:lineRule="auto"/>
        <w:ind w:firstLine="420" w:firstLineChars="200"/>
        <w:rPr>
          <w:kern w:val="0"/>
          <w:szCs w:val="21"/>
        </w:rPr>
      </w:pPr>
      <w:r>
        <w:rPr>
          <w:kern w:val="0"/>
          <w:szCs w:val="21"/>
        </w:rPr>
        <w:fldChar w:fldCharType="begin">
          <w:ffData>
            <w:name w:val="Text37"/>
            <w:enabled/>
            <w:calcOnExit w:val="0"/>
            <w:textInput>
              <w:default w:val="1. 存款、回购等按投资余额估值，逐日计提利息。"/>
            </w:textInput>
          </w:ffData>
        </w:fldChar>
      </w:r>
      <w:r>
        <w:rPr>
          <w:kern w:val="0"/>
          <w:szCs w:val="21"/>
        </w:rPr>
        <w:instrText xml:space="preserve">FORMTEXT</w:instrText>
      </w:r>
      <w:r>
        <w:rPr>
          <w:kern w:val="0"/>
          <w:szCs w:val="21"/>
        </w:rPr>
        <w:fldChar w:fldCharType="separate"/>
      </w:r>
      <w:r>
        <w:rPr>
          <w:kern w:val="0"/>
          <w:szCs w:val="21"/>
        </w:rPr>
        <w:t>1. 存款、回购等按投资余额估值，逐日计提利息。</w:t>
      </w:r>
      <w:r>
        <w:rPr>
          <w:kern w:val="0"/>
          <w:szCs w:val="21"/>
        </w:rPr>
        <w:fldChar w:fldCharType="end"/>
      </w:r>
    </w:p>
    <w:p>
      <w:pPr>
        <w:spacing w:line="360" w:lineRule="auto"/>
        <w:ind w:firstLine="420" w:firstLineChars="200"/>
        <w:rPr>
          <w:kern w:val="0"/>
          <w:szCs w:val="21"/>
        </w:rPr>
      </w:pPr>
      <w:bookmarkStart w:id="41" w:name="Text117"/>
      <w:r>
        <w:rPr>
          <w:kern w:val="0"/>
          <w:szCs w:val="21"/>
        </w:rPr>
        <w:fldChar w:fldCharType="begin">
          <w:ffData>
            <w:name w:val="Text37"/>
            <w:enabled/>
            <w:calcOnExit w:val="0"/>
            <w:textInput>
              <w:default w:val="2. 在交易所和银行间市场交易的债券，通常按市价（收盘价）或第三方估值机构（中债、中证等）提供的估值数据进行估值，对不存在活跃市场的资产，可视具体情况与托管人协商后采用估值技术进行估值。采用第三方估值机构提供的估值数据进行估值时，具体第三方估值机构由管理人与托管人协商后确定。以收取合同现金流量为目的并持有到期的，在满足《企业会计准则》及其他适用的法律法规、监管规定的条件下，可使用摊余成本计量。"/>
            </w:textInput>
          </w:ffData>
        </w:fldChar>
      </w:r>
      <w:r>
        <w:rPr>
          <w:kern w:val="0"/>
          <w:szCs w:val="21"/>
        </w:rPr>
        <w:instrText xml:space="preserve">FORMTEXT</w:instrText>
      </w:r>
      <w:r>
        <w:rPr>
          <w:kern w:val="0"/>
          <w:szCs w:val="21"/>
        </w:rPr>
        <w:fldChar w:fldCharType="separate"/>
      </w:r>
      <w:r>
        <w:rPr>
          <w:kern w:val="0"/>
          <w:szCs w:val="21"/>
        </w:rPr>
        <w:t>2. 在交易所和银行间市场交易的债券，通常按市价（收盘价）或第三方估值机构（中债、中证等）提供的估值数据进行估值，对不存在活跃市场的资产，可视具体情况与托管人协商后采用估值技术进行估值。采用第三方估值机构提供的估值数据进行估值时，具体第三方估值机构由管理人与托管人协商后确定。以收取合同现金流量为目的并持有到期的，在满足《企业会计准则》及其他适用的法律法规、监管规定的条件下，可使用摊余成本计量。</w:t>
      </w:r>
      <w:r>
        <w:rPr>
          <w:kern w:val="0"/>
          <w:szCs w:val="21"/>
        </w:rPr>
        <w:fldChar w:fldCharType="end"/>
      </w:r>
      <w:bookmarkEnd w:id="41"/>
    </w:p>
    <w:p>
      <w:pPr>
        <w:spacing w:line="360" w:lineRule="auto"/>
        <w:ind w:firstLine="420" w:firstLineChars="200"/>
        <w:rPr>
          <w:kern w:val="0"/>
          <w:szCs w:val="21"/>
        </w:rPr>
      </w:pPr>
      <w:bookmarkStart w:id="42" w:name="Text119"/>
      <w:r>
        <w:rPr>
          <w:kern w:val="0"/>
          <w:szCs w:val="21"/>
        </w:rPr>
        <w:fldChar w:fldCharType="begin">
          <w:ffData>
            <w:name w:val="Text37"/>
            <w:enabled/>
            <w:calcOnExit w:val="0"/>
            <w:textInput>
              <w:default w:val="3. 债权融资计划、理财直接融资工具及其他非标准化债权类资产，暂不具备活跃交易市场，视具体情况与托管人协商后采用第三方估值数据或估值技术进行估值。以收取合同现金流量为目的并持有到期的，在满足《企业会计准则》及其他适用的法律法规、监管规定的条件下，可使用摊余成本计量。"/>
            </w:textInput>
          </w:ffData>
        </w:fldChar>
      </w:r>
      <w:r>
        <w:rPr>
          <w:kern w:val="0"/>
          <w:szCs w:val="21"/>
        </w:rPr>
        <w:instrText xml:space="preserve">FORMTEXT</w:instrText>
      </w:r>
      <w:r>
        <w:rPr>
          <w:kern w:val="0"/>
          <w:szCs w:val="21"/>
        </w:rPr>
        <w:fldChar w:fldCharType="separate"/>
      </w:r>
      <w:r>
        <w:rPr>
          <w:kern w:val="0"/>
          <w:szCs w:val="21"/>
        </w:rPr>
        <w:t>3. 债权融资计划、理财直接融资工具及其他非标准化债权类资产，暂不具备活跃交易市场，视具体情况与托管人协商后采用第三方估值数据或估值技术进行估值。以收取合同现金流量为目的并持有到期的，在满足《企业会计准则》及其他适用的法律法规、监管规定的条件下，可使用摊余成本计量。</w:t>
      </w:r>
      <w:r>
        <w:rPr>
          <w:kern w:val="0"/>
          <w:szCs w:val="21"/>
        </w:rPr>
        <w:fldChar w:fldCharType="end"/>
      </w:r>
      <w:bookmarkEnd w:id="42"/>
    </w:p>
    <w:p>
      <w:pPr>
        <w:spacing w:line="360" w:lineRule="auto"/>
        <w:ind w:firstLine="420" w:firstLineChars="200"/>
        <w:rPr>
          <w:kern w:val="0"/>
          <w:szCs w:val="21"/>
        </w:rPr>
      </w:pPr>
      <w:bookmarkStart w:id="43" w:name="Text121"/>
      <w:r>
        <w:rPr>
          <w:kern w:val="0"/>
          <w:szCs w:val="21"/>
        </w:rPr>
        <w:fldChar w:fldCharType="begin">
          <w:ffData>
            <w:name w:val="Text37"/>
            <w:enabled/>
            <w:calcOnExit w:val="0"/>
            <w:textInput>
              <w:default w:val="5. 期货、互换、期权等衍生金融工具，场内品种以交易所最近交易日结算价或收盘价估值，场外品种可采用第三方估值数据或估值技术进行估值。"/>
            </w:textInput>
          </w:ffData>
        </w:fldChar>
      </w:r>
      <w:r>
        <w:rPr>
          <w:kern w:val="0"/>
          <w:szCs w:val="21"/>
        </w:rPr>
        <w:instrText xml:space="preserve">FORMTEXT</w:instrText>
      </w:r>
      <w:r>
        <w:rPr>
          <w:kern w:val="0"/>
          <w:szCs w:val="21"/>
        </w:rPr>
        <w:fldChar w:fldCharType="separate"/>
      </w:r>
      <w:r>
        <w:rPr>
          <w:rFonts w:hint="eastAsia"/>
          <w:kern w:val="0"/>
          <w:szCs w:val="21"/>
        </w:rPr>
        <w:t>4</w:t>
      </w:r>
      <w:r>
        <w:rPr>
          <w:kern w:val="0"/>
          <w:szCs w:val="21"/>
        </w:rPr>
        <w:t>. 期货、互换、期权等衍生金融工具，场内品种以交易所最近交易日结算价或收盘价估值，场外品种可采用第三方估值数据或估值技术进行估值。</w:t>
      </w:r>
      <w:r>
        <w:rPr>
          <w:kern w:val="0"/>
          <w:szCs w:val="21"/>
        </w:rPr>
        <w:fldChar w:fldCharType="end"/>
      </w:r>
      <w:bookmarkEnd w:id="43"/>
    </w:p>
    <w:p>
      <w:pPr>
        <w:spacing w:line="360" w:lineRule="auto"/>
        <w:ind w:firstLine="420" w:firstLineChars="200"/>
        <w:rPr>
          <w:kern w:val="0"/>
          <w:szCs w:val="21"/>
        </w:rPr>
      </w:pPr>
      <w:bookmarkStart w:id="44" w:name="Text122"/>
      <w:r>
        <w:rPr>
          <w:kern w:val="0"/>
          <w:szCs w:val="21"/>
        </w:rPr>
        <w:fldChar w:fldCharType="begin">
          <w:ffData>
            <w:enabled/>
            <w:calcOnExit w:val="0"/>
            <w:textInput>
              <w:default w:val="6. 证券投资基金 "/>
            </w:textInput>
          </w:ffData>
        </w:fldChar>
      </w:r>
      <w:r>
        <w:rPr>
          <w:kern w:val="0"/>
          <w:szCs w:val="21"/>
        </w:rPr>
        <w:instrText xml:space="preserve">FORMTEXT</w:instrText>
      </w:r>
      <w:r>
        <w:rPr>
          <w:kern w:val="0"/>
          <w:szCs w:val="21"/>
        </w:rPr>
        <w:fldChar w:fldCharType="separate"/>
      </w:r>
      <w:r>
        <w:rPr>
          <w:rFonts w:hint="eastAsia"/>
          <w:kern w:val="0"/>
          <w:szCs w:val="21"/>
        </w:rPr>
        <w:t>5</w:t>
      </w:r>
      <w:r>
        <w:rPr>
          <w:kern w:val="0"/>
          <w:szCs w:val="21"/>
        </w:rPr>
        <w:t xml:space="preserve">. 证券投资基金 </w:t>
      </w:r>
      <w:r>
        <w:rPr>
          <w:kern w:val="0"/>
          <w:szCs w:val="21"/>
        </w:rPr>
        <w:fldChar w:fldCharType="end"/>
      </w:r>
    </w:p>
    <w:p>
      <w:pPr>
        <w:spacing w:line="360" w:lineRule="auto"/>
        <w:ind w:firstLine="420" w:firstLineChars="200"/>
        <w:rPr>
          <w:kern w:val="0"/>
          <w:szCs w:val="21"/>
        </w:rPr>
      </w:pPr>
      <w:r>
        <w:rPr>
          <w:kern w:val="0"/>
          <w:szCs w:val="21"/>
        </w:rPr>
        <w:fldChar w:fldCharType="begin">
          <w:ffData>
            <w:enabled/>
            <w:calcOnExit w:val="0"/>
            <w:textInput>
              <w:default w:val="（1）非上市份额，按所投资基金公告的最新份额净值估值。"/>
            </w:textInput>
          </w:ffData>
        </w:fldChar>
      </w:r>
      <w:r>
        <w:rPr>
          <w:kern w:val="0"/>
          <w:szCs w:val="21"/>
        </w:rPr>
        <w:instrText xml:space="preserve">FORMTEXT</w:instrText>
      </w:r>
      <w:r>
        <w:rPr>
          <w:kern w:val="0"/>
          <w:szCs w:val="21"/>
        </w:rPr>
        <w:fldChar w:fldCharType="separate"/>
      </w:r>
      <w:r>
        <w:rPr>
          <w:kern w:val="0"/>
          <w:szCs w:val="21"/>
        </w:rPr>
        <w:t>（1）非上市份额，按所投资基金公告的最新份额净值估值。</w:t>
      </w:r>
      <w:r>
        <w:rPr>
          <w:kern w:val="0"/>
          <w:szCs w:val="21"/>
        </w:rPr>
        <w:fldChar w:fldCharType="end"/>
      </w:r>
    </w:p>
    <w:p>
      <w:pPr>
        <w:spacing w:line="360" w:lineRule="auto"/>
        <w:ind w:firstLine="420" w:firstLineChars="200"/>
        <w:rPr>
          <w:kern w:val="0"/>
          <w:szCs w:val="21"/>
        </w:rPr>
      </w:pPr>
      <w:r>
        <w:rPr>
          <w:kern w:val="0"/>
          <w:szCs w:val="21"/>
        </w:rPr>
        <w:fldChar w:fldCharType="begin">
          <w:ffData>
            <w:enabled/>
            <w:calcOnExit w:val="0"/>
            <w:textInput>
              <w:default w:val="（2）上市份额，与托管人协商后视具体情况采用估值日收盘价或管理人公告的最新份额净值估值。 "/>
            </w:textInput>
          </w:ffData>
        </w:fldChar>
      </w:r>
      <w:r>
        <w:rPr>
          <w:kern w:val="0"/>
          <w:szCs w:val="21"/>
        </w:rPr>
        <w:instrText xml:space="preserve">FORMTEXT</w:instrText>
      </w:r>
      <w:r>
        <w:rPr>
          <w:kern w:val="0"/>
          <w:szCs w:val="21"/>
        </w:rPr>
        <w:fldChar w:fldCharType="separate"/>
      </w:r>
      <w:r>
        <w:rPr>
          <w:kern w:val="0"/>
          <w:szCs w:val="21"/>
        </w:rPr>
        <w:t xml:space="preserve">（2）上市份额，与托管人协商后视具体情况采用估值日收盘价或管理人公告的最新份额净值估值。 </w:t>
      </w:r>
      <w:r>
        <w:rPr>
          <w:kern w:val="0"/>
          <w:szCs w:val="21"/>
        </w:rPr>
        <w:fldChar w:fldCharType="end"/>
      </w:r>
      <w:bookmarkEnd w:id="44"/>
    </w:p>
    <w:p>
      <w:pPr>
        <w:spacing w:line="360" w:lineRule="auto"/>
        <w:ind w:firstLine="420" w:firstLineChars="200"/>
        <w:rPr>
          <w:kern w:val="0"/>
          <w:szCs w:val="21"/>
        </w:rPr>
      </w:pPr>
      <w:bookmarkStart w:id="45" w:name="Text123"/>
      <w:r>
        <w:rPr>
          <w:kern w:val="0"/>
          <w:szCs w:val="21"/>
        </w:rPr>
        <w:fldChar w:fldCharType="begin">
          <w:ffData>
            <w:name w:val="Text37"/>
            <w:enabled/>
            <w:calcOnExit w:val="0"/>
            <w:textInput>
              <w:default w:val="7. 理财产品投资的其他资产管理产品，如各类信托产品、券商资产管理产品、基金资产管理产品、期货资产管理产品、保险资产管理产品及其他资产管理产品等，采用资产管理产品管理人提供的最新份额净值进行估值；若资产管理产品管理人无法提供净值信息或有充足的理由认为其提供的净值信息不能准确反映资产管理产品公允价值的，采用第三方估值或估值技术进行估值。以收取合同现金流量为目的并持有到期的，在满足《企业会计准则》及其他适用的法律法规、监管规定的条件下，可使用摊余成本计量。"/>
            </w:textInput>
          </w:ffData>
        </w:fldChar>
      </w:r>
      <w:r>
        <w:rPr>
          <w:kern w:val="0"/>
          <w:szCs w:val="21"/>
        </w:rPr>
        <w:instrText xml:space="preserve">FORMTEXT</w:instrText>
      </w:r>
      <w:r>
        <w:rPr>
          <w:kern w:val="0"/>
          <w:szCs w:val="21"/>
        </w:rPr>
        <w:fldChar w:fldCharType="separate"/>
      </w:r>
      <w:r>
        <w:rPr>
          <w:rFonts w:hint="eastAsia"/>
          <w:kern w:val="0"/>
          <w:szCs w:val="21"/>
        </w:rPr>
        <w:t>6</w:t>
      </w:r>
      <w:r>
        <w:rPr>
          <w:kern w:val="0"/>
          <w:szCs w:val="21"/>
        </w:rPr>
        <w:t>. 理财产品投资的其他资产管理产品，如各类信托产品、券商资产管理产品、基金资产管理产品、期货资产管理产品、保险资产管理产品及其他资产管理产品等，采用资产管理产品管理人提供的最新份额净值进行估值；若资产管理产品管理人无法提供净值信息或有充足的理由认为其提供的净值信息不能准确反映资产管理产品公允价值的，采用第三方估值或估值技术进行估值。以收取合同现金流量为目的并持有到期的，在满足《企业会计准则》及其他适用的法律法规、监管规定的条件下，可使用摊余成本计量。</w:t>
      </w:r>
      <w:r>
        <w:rPr>
          <w:kern w:val="0"/>
          <w:szCs w:val="21"/>
        </w:rPr>
        <w:fldChar w:fldCharType="end"/>
      </w:r>
      <w:bookmarkEnd w:id="45"/>
    </w:p>
    <w:p>
      <w:pPr>
        <w:spacing w:line="360" w:lineRule="auto"/>
        <w:ind w:firstLine="420" w:firstLineChars="200"/>
        <w:rPr>
          <w:kern w:val="0"/>
          <w:szCs w:val="21"/>
        </w:rPr>
      </w:pPr>
      <w:bookmarkStart w:id="46" w:name="Text124"/>
      <w:r>
        <w:rPr>
          <w:kern w:val="0"/>
          <w:szCs w:val="21"/>
        </w:rPr>
        <w:fldChar w:fldCharType="begin">
          <w:ffData>
            <w:name w:val="Text37"/>
            <w:enabled/>
            <w:calcOnExit w:val="0"/>
            <w:textInput>
              <w:default w:val="8. 若理财产品存续期内持有其他投资品种，管理人与托管人协商后采用共同认可的方法估值。"/>
            </w:textInput>
          </w:ffData>
        </w:fldChar>
      </w:r>
      <w:r>
        <w:rPr>
          <w:kern w:val="0"/>
          <w:szCs w:val="21"/>
        </w:rPr>
        <w:instrText xml:space="preserve">FORMTEXT</w:instrText>
      </w:r>
      <w:r>
        <w:rPr>
          <w:kern w:val="0"/>
          <w:szCs w:val="21"/>
        </w:rPr>
        <w:fldChar w:fldCharType="separate"/>
      </w:r>
      <w:r>
        <w:rPr>
          <w:rFonts w:hint="eastAsia"/>
          <w:kern w:val="0"/>
          <w:szCs w:val="21"/>
        </w:rPr>
        <w:t>7</w:t>
      </w:r>
      <w:r>
        <w:rPr>
          <w:kern w:val="0"/>
          <w:szCs w:val="21"/>
        </w:rPr>
        <w:t>. 若理财产品存续期内持有其他投资品种，管理人与托管人协商后采用共同认可的方法估值。</w:t>
      </w:r>
      <w:r>
        <w:rPr>
          <w:kern w:val="0"/>
          <w:szCs w:val="21"/>
        </w:rPr>
        <w:fldChar w:fldCharType="end"/>
      </w:r>
      <w:bookmarkEnd w:id="46"/>
    </w:p>
    <w:p>
      <w:pPr>
        <w:spacing w:line="360" w:lineRule="auto"/>
        <w:ind w:firstLine="420" w:firstLineChars="200"/>
        <w:rPr>
          <w:kern w:val="0"/>
          <w:szCs w:val="21"/>
        </w:rPr>
      </w:pPr>
      <w:r>
        <w:rPr>
          <w:kern w:val="0"/>
          <w:szCs w:val="21"/>
        </w:rPr>
        <w:fldChar w:fldCharType="begin">
          <w:ffData>
            <w:name w:val="Text37"/>
            <w:enabled/>
            <w:calcOnExit w:val="0"/>
            <w:textInput>
              <w:default w:val="9. 在任何情况下，如采用以上方法估值，均被认为采用了适当的估值方法。如管理人认为有确凿证据表明按以上估值原则进行估值不能客观反映资产或负债公允价值的，管理人可根据具体情况与产品托管人商定后，按最能反映公允价值的方法估值。"/>
            </w:textInput>
          </w:ffData>
        </w:fldChar>
      </w:r>
      <w:r>
        <w:rPr>
          <w:kern w:val="0"/>
          <w:szCs w:val="21"/>
        </w:rPr>
        <w:instrText xml:space="preserve">FORMTEXT</w:instrText>
      </w:r>
      <w:r>
        <w:rPr>
          <w:kern w:val="0"/>
          <w:szCs w:val="21"/>
        </w:rPr>
        <w:fldChar w:fldCharType="separate"/>
      </w:r>
      <w:r>
        <w:rPr>
          <w:rFonts w:hint="eastAsia"/>
          <w:kern w:val="0"/>
          <w:szCs w:val="21"/>
        </w:rPr>
        <w:t>8</w:t>
      </w:r>
      <w:r>
        <w:rPr>
          <w:kern w:val="0"/>
          <w:szCs w:val="21"/>
        </w:rPr>
        <w:t>. 在任何情况下，如采用以上方法估值，均被认为采用了适当的估值方法。如管理人认为有确凿证据表明按以上估值原则进行估值不能客观反映资产或负债公允价值的，管理人可根据具体情况与产品托管人商定后，按最能反映公允价值的方法估值。</w:t>
      </w:r>
      <w:r>
        <w:rPr>
          <w:kern w:val="0"/>
          <w:szCs w:val="21"/>
        </w:rPr>
        <w:fldChar w:fldCharType="end"/>
      </w:r>
    </w:p>
    <w:p>
      <w:pPr>
        <w:spacing w:line="360" w:lineRule="auto"/>
        <w:ind w:firstLine="420" w:firstLineChars="200"/>
        <w:rPr>
          <w:kern w:val="0"/>
          <w:szCs w:val="21"/>
        </w:rPr>
      </w:pPr>
      <w:r>
        <w:rPr>
          <w:kern w:val="0"/>
          <w:szCs w:val="21"/>
        </w:rPr>
        <w:fldChar w:fldCharType="begin">
          <w:ffData>
            <w:name w:val="Text37"/>
            <w:enabled/>
            <w:calcOnExit w:val="0"/>
            <w:textInput>
              <w:default w:val="10. 对于以上估值方法，相关法律法规及监管部门有另行规定的，从其规定。如无明确规定和要求的，由管理人与托管人协商确定估值方法。"/>
            </w:textInput>
          </w:ffData>
        </w:fldChar>
      </w:r>
      <w:r>
        <w:rPr>
          <w:kern w:val="0"/>
          <w:szCs w:val="21"/>
        </w:rPr>
        <w:instrText xml:space="preserve">FORMTEXT</w:instrText>
      </w:r>
      <w:r>
        <w:rPr>
          <w:kern w:val="0"/>
          <w:szCs w:val="21"/>
        </w:rPr>
        <w:fldChar w:fldCharType="separate"/>
      </w:r>
      <w:r>
        <w:rPr>
          <w:rFonts w:hint="eastAsia"/>
          <w:kern w:val="0"/>
          <w:szCs w:val="21"/>
        </w:rPr>
        <w:t>9</w:t>
      </w:r>
      <w:r>
        <w:rPr>
          <w:kern w:val="0"/>
          <w:szCs w:val="21"/>
        </w:rPr>
        <w:t>. 对于以上估值方法，相关法律法规及监管部门有另行规定的，从其规定。如无明确规定和要求的，由管理人与托管人协商确定估值方法。</w:t>
      </w:r>
      <w:r>
        <w:rPr>
          <w:kern w:val="0"/>
          <w:szCs w:val="21"/>
        </w:rPr>
        <w:fldChar w:fldCharType="end"/>
      </w:r>
    </w:p>
    <w:p>
      <w:pPr>
        <w:spacing w:line="360" w:lineRule="auto"/>
        <w:ind w:firstLine="422" w:firstLineChars="200"/>
        <w:rPr>
          <w:b/>
          <w:bCs/>
          <w:kern w:val="0"/>
          <w:szCs w:val="21"/>
        </w:rPr>
      </w:pPr>
      <w:r>
        <w:rPr>
          <w:b/>
          <w:bCs/>
          <w:kern w:val="0"/>
          <w:szCs w:val="21"/>
        </w:rPr>
        <w:t>（五）估值程序</w:t>
      </w:r>
    </w:p>
    <w:p>
      <w:pPr>
        <w:spacing w:line="360" w:lineRule="auto"/>
        <w:ind w:firstLine="420" w:firstLineChars="200"/>
        <w:rPr>
          <w:kern w:val="0"/>
          <w:szCs w:val="21"/>
        </w:rPr>
      </w:pPr>
      <w:r>
        <w:rPr>
          <w:kern w:val="0"/>
          <w:szCs w:val="21"/>
        </w:rPr>
        <w:fldChar w:fldCharType="begin">
          <w:ffData>
            <w:name w:val="Text127"/>
            <w:enabled/>
            <w:calcOnExit w:val="0"/>
            <w:textInput>
              <w:default w:val="1. 理财产品单位净值是按照每个估值日闭市后，理财产品资产净值除以当日理财产品份额的余额数量计算，精确到0.0001元，小数点后第5位舍位。"/>
            </w:textInput>
          </w:ffData>
        </w:fldChar>
      </w:r>
      <w:r>
        <w:rPr>
          <w:kern w:val="0"/>
          <w:szCs w:val="21"/>
        </w:rPr>
        <w:instrText xml:space="preserve">FORMTEXT</w:instrText>
      </w:r>
      <w:r>
        <w:rPr>
          <w:kern w:val="0"/>
          <w:szCs w:val="21"/>
        </w:rPr>
        <w:fldChar w:fldCharType="separate"/>
      </w:r>
      <w:r>
        <w:rPr>
          <w:kern w:val="0"/>
          <w:szCs w:val="21"/>
        </w:rPr>
        <w:t>1. 理财产品单位净值是按照每个估值日闭市后，理财产品资产净值除以当日理财产品份额的余额数量计算，精确到0.0001元，小数点后第5位舍位。</w:t>
      </w:r>
      <w:r>
        <w:rPr>
          <w:kern w:val="0"/>
          <w:szCs w:val="21"/>
        </w:rPr>
        <w:fldChar w:fldCharType="end"/>
      </w:r>
    </w:p>
    <w:p>
      <w:pPr>
        <w:spacing w:line="360" w:lineRule="auto"/>
        <w:ind w:firstLine="420" w:firstLineChars="200"/>
        <w:rPr>
          <w:kern w:val="0"/>
          <w:szCs w:val="21"/>
        </w:rPr>
      </w:pPr>
      <w:r>
        <w:rPr>
          <w:kern w:val="0"/>
          <w:szCs w:val="21"/>
        </w:rPr>
        <w:fldChar w:fldCharType="begin">
          <w:ffData>
            <w:name w:val="Text128"/>
            <w:enabled/>
            <w:calcOnExit w:val="0"/>
            <w:textInput>
              <w:default w:val="2. 管理人按合同约定对理财产品进行估值，估值结果经托管人复核无误后，由管理人按合同约定进行对外公布。"/>
            </w:textInput>
          </w:ffData>
        </w:fldChar>
      </w:r>
      <w:r>
        <w:rPr>
          <w:kern w:val="0"/>
          <w:szCs w:val="21"/>
        </w:rPr>
        <w:instrText xml:space="preserve">FORMTEXT</w:instrText>
      </w:r>
      <w:r>
        <w:rPr>
          <w:kern w:val="0"/>
          <w:szCs w:val="21"/>
        </w:rPr>
        <w:fldChar w:fldCharType="separate"/>
      </w:r>
      <w:r>
        <w:rPr>
          <w:kern w:val="0"/>
          <w:szCs w:val="21"/>
        </w:rPr>
        <w:t>2. 管理人按合同约定对理财产品进行估值，估值结果经托管人复核无误后，由管理人按合同约定进行对外公布。</w:t>
      </w:r>
      <w:r>
        <w:rPr>
          <w:kern w:val="0"/>
          <w:szCs w:val="21"/>
        </w:rPr>
        <w:fldChar w:fldCharType="end"/>
      </w:r>
    </w:p>
    <w:p>
      <w:pPr>
        <w:spacing w:line="360" w:lineRule="auto"/>
        <w:ind w:firstLine="422" w:firstLineChars="200"/>
        <w:rPr>
          <w:b/>
          <w:bCs/>
          <w:kern w:val="0"/>
          <w:szCs w:val="21"/>
        </w:rPr>
      </w:pPr>
      <w:r>
        <w:rPr>
          <w:b/>
          <w:bCs/>
          <w:kern w:val="0"/>
          <w:szCs w:val="21"/>
        </w:rPr>
        <w:t>（六）暂停估值的情形</w:t>
      </w:r>
    </w:p>
    <w:p>
      <w:pPr>
        <w:spacing w:line="360" w:lineRule="auto"/>
        <w:ind w:firstLine="420" w:firstLineChars="200"/>
        <w:rPr>
          <w:kern w:val="0"/>
          <w:szCs w:val="21"/>
        </w:rPr>
      </w:pPr>
      <w:r>
        <w:rPr>
          <w:kern w:val="0"/>
          <w:szCs w:val="21"/>
        </w:rPr>
        <w:fldChar w:fldCharType="begin">
          <w:ffData>
            <w:name w:val="Text131"/>
            <w:enabled/>
            <w:calcOnExit w:val="0"/>
            <w:textInput>
              <w:default w:val="1. 因不可抗力或其他情形致使管理人、托管人无法准确评估资产或负债价值时。&#13;&#10;2. 管理人有合理理由认为将影响本理财产品估值的其他情形发生时。"/>
            </w:textInput>
          </w:ffData>
        </w:fldChar>
      </w:r>
      <w:r>
        <w:rPr>
          <w:kern w:val="0"/>
          <w:szCs w:val="21"/>
        </w:rPr>
        <w:instrText xml:space="preserve">FORMTEXT</w:instrText>
      </w:r>
      <w:r>
        <w:rPr>
          <w:kern w:val="0"/>
          <w:szCs w:val="21"/>
        </w:rPr>
        <w:fldChar w:fldCharType="separate"/>
      </w:r>
      <w:r>
        <w:rPr>
          <w:kern w:val="0"/>
          <w:szCs w:val="21"/>
        </w:rPr>
        <w:t>1. 因不可抗力或其他情形致使管理人、托管人无法准确评估资产或负债价值时。</w:t>
      </w:r>
      <w:r>
        <w:rPr>
          <w:rFonts w:hint="eastAsia"/>
          <w:kern w:val="0"/>
          <w:szCs w:val="21"/>
        </w:rPr>
        <w:t xml:space="preserve">  </w:t>
      </w:r>
      <w:r>
        <w:rPr>
          <w:kern w:val="0"/>
          <w:szCs w:val="21"/>
        </w:rPr>
        <w:fldChar w:fldCharType="end"/>
      </w:r>
    </w:p>
    <w:p>
      <w:pPr>
        <w:spacing w:line="360" w:lineRule="auto"/>
        <w:ind w:firstLine="420" w:firstLineChars="200"/>
        <w:rPr>
          <w:kern w:val="0"/>
          <w:szCs w:val="21"/>
        </w:rPr>
      </w:pPr>
      <w:r>
        <w:rPr>
          <w:kern w:val="0"/>
          <w:szCs w:val="21"/>
        </w:rPr>
        <w:fldChar w:fldCharType="begin">
          <w:ffData>
            <w:name w:val="Text93"/>
            <w:enabled/>
            <w:calcOnExit w:val="0"/>
            <w:textInput>
              <w:default w:val="2. 证券交易场所或银行间债券市场依法决定停市，导致管理人无法计算当日理财产品资产净值等情形；"/>
            </w:textInput>
          </w:ffData>
        </w:fldChar>
      </w:r>
      <w:r>
        <w:rPr>
          <w:kern w:val="0"/>
          <w:szCs w:val="21"/>
        </w:rPr>
        <w:instrText xml:space="preserve">FORMTEXT</w:instrText>
      </w:r>
      <w:r>
        <w:rPr>
          <w:kern w:val="0"/>
          <w:szCs w:val="21"/>
        </w:rPr>
        <w:fldChar w:fldCharType="separate"/>
      </w:r>
      <w:r>
        <w:rPr>
          <w:kern w:val="0"/>
          <w:szCs w:val="21"/>
        </w:rPr>
        <w:t>2. 证券交易场所或银行间债券市场依法决定停市，导致管理人无法计算当日理财产品资产净值等情形；</w:t>
      </w:r>
      <w:r>
        <w:rPr>
          <w:kern w:val="0"/>
          <w:szCs w:val="21"/>
        </w:rPr>
        <w:fldChar w:fldCharType="end"/>
      </w:r>
    </w:p>
    <w:p>
      <w:pPr>
        <w:spacing w:line="360" w:lineRule="auto"/>
        <w:ind w:firstLine="420" w:firstLineChars="200"/>
        <w:rPr>
          <w:kern w:val="0"/>
          <w:szCs w:val="21"/>
        </w:rPr>
      </w:pPr>
      <w:r>
        <w:rPr>
          <w:kern w:val="0"/>
          <w:szCs w:val="21"/>
        </w:rPr>
        <w:fldChar w:fldCharType="begin">
          <w:ffData>
            <w:name w:val="Text94"/>
            <w:enabled/>
            <w:calcOnExit w:val="0"/>
            <w:textInput>
              <w:default w:val="3.本理财产品在前一估值日内，理财产品资产净值50%以上的资产不具备活跃交易市场或者在活跃市场中无报价，且不能采用估值技术可靠计量公允价值的，管理人有权暂停本理财产品估值；"/>
            </w:textInput>
          </w:ffData>
        </w:fldChar>
      </w:r>
      <w:r>
        <w:rPr>
          <w:kern w:val="0"/>
          <w:szCs w:val="21"/>
        </w:rPr>
        <w:instrText xml:space="preserve">FORMTEXT</w:instrText>
      </w:r>
      <w:r>
        <w:rPr>
          <w:kern w:val="0"/>
          <w:szCs w:val="21"/>
        </w:rPr>
        <w:fldChar w:fldCharType="separate"/>
      </w:r>
      <w:r>
        <w:rPr>
          <w:kern w:val="0"/>
          <w:szCs w:val="21"/>
        </w:rPr>
        <w:t>3.本理财产品在前一估值日内，理财产品资产净值50%以上的资产不具备活跃交易市场或者在活跃市场中无报价，且不能采用估值技术可靠计量公允价值的，管理人有权暂停本理财产品估值；</w:t>
      </w:r>
      <w:r>
        <w:rPr>
          <w:kern w:val="0"/>
          <w:szCs w:val="21"/>
        </w:rPr>
        <w:fldChar w:fldCharType="end"/>
      </w:r>
    </w:p>
    <w:p>
      <w:pPr>
        <w:spacing w:line="360" w:lineRule="auto"/>
        <w:ind w:firstLine="420" w:firstLineChars="200"/>
        <w:rPr>
          <w:kern w:val="0"/>
          <w:szCs w:val="21"/>
        </w:rPr>
      </w:pPr>
      <w:r>
        <w:rPr>
          <w:kern w:val="0"/>
          <w:szCs w:val="21"/>
        </w:rPr>
        <w:fldChar w:fldCharType="begin">
          <w:ffData>
            <w:name w:val="Text92"/>
            <w:enabled/>
            <w:calcOnExit w:val="0"/>
            <w:textInput>
              <w:default w:val="4. 管理人有合理理由认为将影响本理财产品估值的其他情形发生时；"/>
            </w:textInput>
          </w:ffData>
        </w:fldChar>
      </w:r>
      <w:r>
        <w:rPr>
          <w:kern w:val="0"/>
          <w:szCs w:val="21"/>
        </w:rPr>
        <w:instrText xml:space="preserve">FORMTEXT</w:instrText>
      </w:r>
      <w:r>
        <w:rPr>
          <w:kern w:val="0"/>
          <w:szCs w:val="21"/>
        </w:rPr>
        <w:fldChar w:fldCharType="separate"/>
      </w:r>
      <w:r>
        <w:rPr>
          <w:kern w:val="0"/>
          <w:szCs w:val="21"/>
        </w:rPr>
        <w:t>4. 管理人有合理理由认为将影响本理财产品估值的其他情形发生时；</w:t>
      </w:r>
      <w:r>
        <w:rPr>
          <w:kern w:val="0"/>
          <w:szCs w:val="21"/>
        </w:rPr>
        <w:fldChar w:fldCharType="end"/>
      </w:r>
    </w:p>
    <w:p>
      <w:pPr>
        <w:spacing w:line="360" w:lineRule="auto"/>
        <w:ind w:firstLine="422" w:firstLineChars="200"/>
        <w:rPr>
          <w:kern w:val="0"/>
          <w:szCs w:val="21"/>
        </w:rPr>
      </w:pPr>
      <w:r>
        <w:rPr>
          <w:b/>
          <w:bCs/>
          <w:kern w:val="0"/>
          <w:szCs w:val="21"/>
        </w:rPr>
        <w:fldChar w:fldCharType="begin">
          <w:ffData>
            <w:name w:val="Text100"/>
            <w:enabled/>
            <w:calcOnExit w:val="0"/>
            <w:textInput>
              <w:default w:val="5. 管理人将在运用暂停估值措施后的3个交易日内告知本理财产品的投资者，并说明运用相关措施的原因、拟采取的应对安排等。"/>
            </w:textInput>
          </w:ffData>
        </w:fldChar>
      </w:r>
      <w:r>
        <w:rPr>
          <w:b/>
          <w:bCs/>
          <w:kern w:val="0"/>
          <w:szCs w:val="21"/>
        </w:rPr>
        <w:instrText xml:space="preserve">FORMTEXT</w:instrText>
      </w:r>
      <w:r>
        <w:rPr>
          <w:b/>
          <w:bCs/>
          <w:kern w:val="0"/>
          <w:szCs w:val="21"/>
        </w:rPr>
        <w:fldChar w:fldCharType="separate"/>
      </w:r>
      <w:r>
        <w:rPr>
          <w:b/>
          <w:bCs/>
          <w:kern w:val="0"/>
          <w:szCs w:val="21"/>
        </w:rPr>
        <w:t>管理人将在运用暂停估值措施后的3个交易日内告知本理财产品的投资者，并说明运用相关措施的原因、拟采取的应对安排等。</w:t>
      </w:r>
      <w:r>
        <w:rPr>
          <w:b/>
          <w:bCs/>
          <w:kern w:val="0"/>
          <w:szCs w:val="21"/>
        </w:rPr>
        <w:fldChar w:fldCharType="end"/>
      </w:r>
    </w:p>
    <w:p>
      <w:pPr>
        <w:spacing w:line="360" w:lineRule="auto"/>
        <w:ind w:firstLine="422" w:firstLineChars="200"/>
        <w:rPr>
          <w:b/>
          <w:bCs/>
          <w:kern w:val="0"/>
          <w:szCs w:val="21"/>
        </w:rPr>
      </w:pPr>
      <w:r>
        <w:rPr>
          <w:b/>
          <w:bCs/>
          <w:kern w:val="0"/>
          <w:szCs w:val="21"/>
        </w:rPr>
        <w:t>（七）特殊情况的处理</w:t>
      </w:r>
    </w:p>
    <w:p>
      <w:pPr>
        <w:autoSpaceDE w:val="0"/>
        <w:autoSpaceDN w:val="0"/>
        <w:adjustRightInd w:val="0"/>
        <w:spacing w:line="360" w:lineRule="auto"/>
        <w:ind w:firstLine="422" w:firstLineChars="200"/>
        <w:rPr>
          <w:b/>
          <w:bCs/>
          <w:color w:val="000000"/>
          <w:kern w:val="0"/>
        </w:rPr>
      </w:pPr>
      <w:r>
        <w:rPr>
          <w:b/>
          <w:bCs/>
          <w:color w:val="000000"/>
          <w:kern w:val="0"/>
        </w:rPr>
        <w:fldChar w:fldCharType="begin">
          <w:ffData>
            <w:name w:val="Text85"/>
            <w:enabled/>
            <w:calcOnExit w:val="0"/>
            <w:textInput>
              <w:default w:val="1. 由于不可抗力原因，或由于证券交易所、期货交易所、第三方估值机构、信托公司、基金公司等发送数据错误等非管理人和托管人原因，管理人和托管人虽然已经采取必要、适当、合理的措施进行检查，但未能发现估值错误的，由此造成的损失，管理人和托管人免除赔偿责任。但管理人和托管人应当积极采取必要的措施减轻或消除由此造成的影响。"/>
            </w:textInput>
          </w:ffData>
        </w:fldChar>
      </w:r>
      <w:r>
        <w:rPr>
          <w:b/>
          <w:bCs/>
          <w:color w:val="000000"/>
          <w:kern w:val="0"/>
        </w:rPr>
        <w:instrText xml:space="preserve">FORMTEXT</w:instrText>
      </w:r>
      <w:r>
        <w:rPr>
          <w:b/>
          <w:bCs/>
          <w:color w:val="000000"/>
          <w:kern w:val="0"/>
        </w:rPr>
        <w:fldChar w:fldCharType="separate"/>
      </w:r>
      <w:r>
        <w:rPr>
          <w:b/>
          <w:bCs/>
          <w:color w:val="000000"/>
          <w:kern w:val="0"/>
        </w:rPr>
        <w:t>1. 由于不可抗力原因，或由于证券交易所、期货交易所、第三方估值机构、信托公司、基金公司等发送数据错误等非管理人和托管人原因，管理人和托管人虽然已经采取必要、适当、合理的措施进行检查，但未能发现估值错误的，由此造成的损失，管理人和托管人免除赔偿责任。但管理人和托管人应当积极采取必要的措施减轻或消除由此造成的影响。</w:t>
      </w:r>
      <w:r>
        <w:rPr>
          <w:b/>
          <w:bCs/>
          <w:color w:val="000000"/>
          <w:kern w:val="0"/>
        </w:rPr>
        <w:fldChar w:fldCharType="end"/>
      </w:r>
    </w:p>
    <w:p>
      <w:pPr>
        <w:autoSpaceDE w:val="0"/>
        <w:autoSpaceDN w:val="0"/>
        <w:adjustRightInd w:val="0"/>
        <w:spacing w:line="360" w:lineRule="auto"/>
        <w:ind w:firstLine="422" w:firstLineChars="200"/>
        <w:rPr>
          <w:b/>
          <w:bCs/>
          <w:color w:val="000000"/>
          <w:kern w:val="0"/>
        </w:rPr>
      </w:pPr>
      <w:r>
        <w:rPr>
          <w:b/>
          <w:bCs/>
          <w:color w:val="000000"/>
          <w:kern w:val="0"/>
        </w:rPr>
        <w:fldChar w:fldCharType="begin">
          <w:ffData>
            <w:name w:val="Text86"/>
            <w:enabled/>
            <w:calcOnExit w:val="0"/>
            <w:textInput>
              <w:default w:val="2. 前述内容如相关法律法规、监管机构另有规定的，从其规定处理。如无明确规定和要求的，由管理人与托管人协商后确定。"/>
            </w:textInput>
          </w:ffData>
        </w:fldChar>
      </w:r>
      <w:r>
        <w:rPr>
          <w:b/>
          <w:bCs/>
          <w:color w:val="000000"/>
          <w:kern w:val="0"/>
        </w:rPr>
        <w:instrText xml:space="preserve">FORMTEXT</w:instrText>
      </w:r>
      <w:r>
        <w:rPr>
          <w:b/>
          <w:bCs/>
          <w:color w:val="000000"/>
          <w:kern w:val="0"/>
        </w:rPr>
        <w:fldChar w:fldCharType="separate"/>
      </w:r>
      <w:r>
        <w:rPr>
          <w:b/>
          <w:bCs/>
          <w:color w:val="000000"/>
          <w:kern w:val="0"/>
        </w:rPr>
        <w:t>2. 前述内容如相关法律法规、监管机构另有规定的，从其规定处理。如无明确规定和要求的，由管理人与托管人协商后确定。</w:t>
      </w:r>
      <w:r>
        <w:rPr>
          <w:b/>
          <w:bCs/>
          <w:color w:val="000000"/>
          <w:kern w:val="0"/>
        </w:rPr>
        <w:fldChar w:fldCharType="end"/>
      </w:r>
    </w:p>
    <w:p>
      <w:pPr>
        <w:spacing w:line="360" w:lineRule="auto"/>
        <w:ind w:firstLine="422" w:firstLineChars="200"/>
        <w:rPr>
          <w:rFonts w:hint="eastAsia"/>
          <w:b/>
          <w:bCs/>
          <w:kern w:val="0"/>
          <w:szCs w:val="21"/>
        </w:rPr>
      </w:pPr>
      <w:r>
        <w:rPr>
          <w:rFonts w:hint="eastAsia"/>
          <w:b/>
          <w:bCs/>
          <w:kern w:val="0"/>
          <w:szCs w:val="21"/>
        </w:rPr>
        <w:fldChar w:fldCharType="begin">
          <w:ffData>
            <w:name w:val="Text131"/>
            <w:enabled/>
            <w:calcOnExit w:val="0"/>
            <w:textInput>
              <w:default w:val="     （八）估值错误的处理"/>
            </w:textInput>
          </w:ffData>
        </w:fldChar>
      </w:r>
      <w:r>
        <w:rPr>
          <w:rFonts w:hint="eastAsia"/>
          <w:b/>
          <w:bCs/>
          <w:kern w:val="0"/>
          <w:szCs w:val="21"/>
        </w:rPr>
        <w:instrText xml:space="preserve">FORMTEXT</w:instrText>
      </w:r>
      <w:r>
        <w:rPr>
          <w:rFonts w:hint="eastAsia"/>
          <w:b/>
          <w:bCs/>
          <w:kern w:val="0"/>
          <w:szCs w:val="21"/>
        </w:rPr>
        <w:fldChar w:fldCharType="separate"/>
      </w:r>
      <w:r>
        <w:rPr>
          <w:rFonts w:hint="eastAsia"/>
          <w:b/>
          <w:bCs/>
          <w:kern w:val="0"/>
          <w:szCs w:val="21"/>
        </w:rPr>
        <w:t>（八）估值错误的处理</w:t>
      </w:r>
      <w:r>
        <w:rPr>
          <w:rFonts w:hint="eastAsia"/>
          <w:b/>
          <w:bCs/>
          <w:kern w:val="0"/>
          <w:szCs w:val="21"/>
        </w:rPr>
        <w:fldChar w:fldCharType="end"/>
      </w:r>
    </w:p>
    <w:p>
      <w:pPr>
        <w:spacing w:line="360" w:lineRule="auto"/>
        <w:ind w:firstLine="422" w:firstLineChars="200"/>
        <w:rPr>
          <w:rFonts w:hint="eastAsia"/>
          <w:kern w:val="0"/>
          <w:szCs w:val="21"/>
        </w:rPr>
      </w:pPr>
      <w:r>
        <w:rPr>
          <w:rFonts w:hint="eastAsia"/>
          <w:b/>
          <w:bCs/>
          <w:kern w:val="0"/>
          <w:szCs w:val="21"/>
        </w:rPr>
        <w:fldChar w:fldCharType="begin">
          <w:ffData>
            <w:name w:val="Text131"/>
            <w:enabled/>
            <w:calcOnExit w:val="0"/>
            <w:textInput>
              <w:default w:val="管理人和托管人将采取必要、适当合理的措施确保产品资产估值的准确性、及时性。当理财产品单位净值出现错误时，管理人应当立即予以纠正，并采取合理的措施防止损失进一步扩大。由于本理财产品估值所用的数据来源中出现错误，或由于其它不可抗力原因，管理人和托管人虽然已采取必要、适当、合理的措施进行检查，但是未能发现该错误的，由此造成的理财产品估值错误，管理人和托管人免除责任。但管理人和托管人应当积极采取必要的措施消除由此造成的影响"/>
            </w:textInput>
          </w:ffData>
        </w:fldChar>
      </w:r>
      <w:r>
        <w:rPr>
          <w:rFonts w:hint="eastAsia"/>
          <w:b/>
          <w:bCs/>
          <w:kern w:val="0"/>
          <w:szCs w:val="21"/>
        </w:rPr>
        <w:instrText xml:space="preserve">FORMTEXT</w:instrText>
      </w:r>
      <w:r>
        <w:rPr>
          <w:rFonts w:hint="eastAsia"/>
          <w:b/>
          <w:bCs/>
          <w:kern w:val="0"/>
          <w:szCs w:val="21"/>
        </w:rPr>
        <w:fldChar w:fldCharType="separate"/>
      </w:r>
      <w:r>
        <w:rPr>
          <w:rFonts w:hint="eastAsia"/>
          <w:b/>
          <w:bCs/>
          <w:kern w:val="0"/>
          <w:szCs w:val="21"/>
        </w:rPr>
        <w:t>管理人和托管人将采取必要、适当合理的措施确保产品资产估值的准确性、及时性。当理财产品单位净值出现错误时，管理人应当立即予以纠正，并采取合理的措施防止损失进一步扩大。由于本理财产品估值所用的数据来源中出现错误，或由于其</w:t>
      </w:r>
      <w:r>
        <w:rPr>
          <w:rFonts w:hint="eastAsia"/>
          <w:b/>
          <w:bCs/>
          <w:kern w:val="0"/>
          <w:szCs w:val="21"/>
          <w:lang w:val="en-US" w:eastAsia="zh-CN"/>
        </w:rPr>
        <w:t>他</w:t>
      </w:r>
      <w:r>
        <w:rPr>
          <w:rFonts w:hint="eastAsia"/>
          <w:b/>
          <w:bCs/>
          <w:kern w:val="0"/>
          <w:szCs w:val="21"/>
        </w:rPr>
        <w:t>不可抗力原因，管理人和托管人虽然已采取必要、适当、合理的措施进行检查，但是未能发现该错误的，由此造成的理财产品估值错误，管理人和托管人免除责任。但管理人和托管人应当积极采取必要的措施消除由此造成的影响。</w:t>
      </w:r>
      <w:r>
        <w:rPr>
          <w:rFonts w:hint="eastAsia"/>
          <w:b/>
          <w:bCs/>
          <w:kern w:val="0"/>
          <w:szCs w:val="21"/>
        </w:rPr>
        <w:fldChar w:fldCharType="end"/>
      </w:r>
    </w:p>
    <w:p>
      <w:pPr>
        <w:spacing w:line="360" w:lineRule="auto"/>
        <w:rPr>
          <w:color w:val="000000"/>
          <w:kern w:val="44"/>
          <w:szCs w:val="21"/>
        </w:rPr>
      </w:pPr>
    </w:p>
    <w:p>
      <w:pPr>
        <w:autoSpaceDE w:val="0"/>
        <w:autoSpaceDN w:val="0"/>
        <w:adjustRightInd w:val="0"/>
        <w:spacing w:line="360" w:lineRule="auto"/>
        <w:rPr>
          <w:b/>
          <w:bCs/>
          <w:color w:val="000000"/>
          <w:kern w:val="0"/>
        </w:rPr>
      </w:pPr>
      <w:r>
        <w:rPr>
          <w:rFonts w:hint="eastAsia"/>
          <w:b/>
          <w:bCs/>
          <w:color w:val="000000"/>
          <w:kern w:val="0"/>
        </w:rPr>
        <w:t>九</w:t>
      </w:r>
      <w:r>
        <w:rPr>
          <w:b/>
          <w:bCs/>
          <w:color w:val="000000"/>
          <w:kern w:val="0"/>
        </w:rPr>
        <w:t>、理财产品的分配</w:t>
      </w:r>
    </w:p>
    <w:p>
      <w:pPr>
        <w:autoSpaceDE w:val="0"/>
        <w:autoSpaceDN w:val="0"/>
        <w:adjustRightInd w:val="0"/>
        <w:spacing w:line="360" w:lineRule="auto"/>
        <w:ind w:firstLine="422" w:firstLineChars="200"/>
        <w:rPr>
          <w:color w:val="000000"/>
          <w:kern w:val="44"/>
          <w:szCs w:val="21"/>
        </w:rPr>
      </w:pPr>
      <w:r>
        <w:rPr>
          <w:b/>
          <w:bCs/>
          <w:color w:val="000000"/>
          <w:kern w:val="0"/>
        </w:rPr>
        <w:t>（一）理财产品利润的构成</w:t>
      </w:r>
    </w:p>
    <w:p>
      <w:pPr>
        <w:autoSpaceDE w:val="0"/>
        <w:autoSpaceDN w:val="0"/>
        <w:adjustRightInd w:val="0"/>
        <w:spacing w:line="360" w:lineRule="auto"/>
        <w:ind w:firstLine="420" w:firstLineChars="200"/>
        <w:rPr>
          <w:color w:val="000000"/>
          <w:kern w:val="44"/>
          <w:szCs w:val="21"/>
        </w:rPr>
      </w:pPr>
      <w:r>
        <w:rPr>
          <w:color w:val="000000"/>
          <w:kern w:val="44"/>
          <w:szCs w:val="21"/>
        </w:rPr>
        <w:t>理财产品利润指理财产品利息收入、投资收益、公允价值变动收益和其他收入扣除相关费用后的余额，理财产品已实现收益指理财产品利润减去公允价值变动收益后的余额。</w:t>
      </w:r>
    </w:p>
    <w:p>
      <w:pPr>
        <w:autoSpaceDE w:val="0"/>
        <w:autoSpaceDN w:val="0"/>
        <w:adjustRightInd w:val="0"/>
        <w:spacing w:line="360" w:lineRule="auto"/>
        <w:ind w:firstLine="422" w:firstLineChars="200"/>
        <w:rPr>
          <w:b/>
          <w:bCs/>
          <w:color w:val="000000"/>
          <w:kern w:val="44"/>
          <w:szCs w:val="21"/>
        </w:rPr>
      </w:pPr>
      <w:r>
        <w:rPr>
          <w:b/>
          <w:bCs/>
          <w:color w:val="000000"/>
          <w:kern w:val="44"/>
          <w:szCs w:val="21"/>
        </w:rPr>
        <w:t>（二）理财产品可供分配利润</w:t>
      </w:r>
    </w:p>
    <w:p>
      <w:pPr>
        <w:autoSpaceDE w:val="0"/>
        <w:autoSpaceDN w:val="0"/>
        <w:adjustRightInd w:val="0"/>
        <w:spacing w:line="360" w:lineRule="auto"/>
        <w:ind w:firstLine="420" w:firstLineChars="200"/>
        <w:rPr>
          <w:color w:val="000000"/>
          <w:kern w:val="44"/>
          <w:szCs w:val="21"/>
        </w:rPr>
      </w:pPr>
      <w:r>
        <w:rPr>
          <w:color w:val="000000"/>
          <w:kern w:val="44"/>
          <w:szCs w:val="21"/>
        </w:rPr>
        <w:t>理财产品可供分配利润指截至收益分配基准日理财产品未分配利润与未分配利润中已实现收益的孰低数。</w:t>
      </w:r>
    </w:p>
    <w:p>
      <w:pPr>
        <w:autoSpaceDE w:val="0"/>
        <w:autoSpaceDN w:val="0"/>
        <w:adjustRightInd w:val="0"/>
        <w:spacing w:line="360" w:lineRule="auto"/>
        <w:ind w:firstLine="422" w:firstLineChars="200"/>
        <w:rPr>
          <w:b/>
          <w:bCs/>
          <w:color w:val="000000"/>
          <w:kern w:val="44"/>
          <w:szCs w:val="21"/>
        </w:rPr>
      </w:pPr>
      <w:r>
        <w:rPr>
          <w:b/>
          <w:bCs/>
          <w:color w:val="000000"/>
          <w:kern w:val="44"/>
          <w:szCs w:val="21"/>
        </w:rPr>
        <w:t>（三）收益分配原则</w:t>
      </w:r>
    </w:p>
    <w:p>
      <w:pPr>
        <w:autoSpaceDE w:val="0"/>
        <w:autoSpaceDN w:val="0"/>
        <w:adjustRightInd w:val="0"/>
        <w:spacing w:line="360" w:lineRule="auto"/>
        <w:ind w:firstLine="420" w:firstLineChars="200"/>
        <w:rPr>
          <w:color w:val="000000"/>
          <w:kern w:val="44"/>
          <w:szCs w:val="21"/>
        </w:rPr>
      </w:pPr>
      <w:r>
        <w:rPr>
          <w:color w:val="000000"/>
          <w:kern w:val="44"/>
          <w:szCs w:val="21"/>
        </w:rPr>
        <w:t>1.在符合理财产品收益分配条件的前提下，管理人可定期或不定期对本理财产品进行收益分配。如理财产品成立不满3个月，本理财产品可不进行收益分配。如本理财产品出现亏损，可不进行收益分配。</w:t>
      </w:r>
    </w:p>
    <w:p>
      <w:pPr>
        <w:autoSpaceDE w:val="0"/>
        <w:autoSpaceDN w:val="0"/>
        <w:adjustRightInd w:val="0"/>
        <w:spacing w:line="360" w:lineRule="auto"/>
        <w:ind w:firstLine="420" w:firstLineChars="200"/>
        <w:rPr>
          <w:color w:val="000000"/>
          <w:kern w:val="44"/>
          <w:szCs w:val="21"/>
        </w:rPr>
      </w:pPr>
      <w:r>
        <w:rPr>
          <w:color w:val="000000"/>
          <w:kern w:val="44"/>
          <w:szCs w:val="21"/>
        </w:rPr>
        <w:t>2.本理财产品的收益分配方式为：</w:t>
      </w:r>
      <w:r>
        <w:rPr>
          <w:color w:val="000000"/>
          <w:kern w:val="44"/>
          <w:szCs w:val="21"/>
        </w:rPr>
        <w:fldChar w:fldCharType="begin">
          <w:ffData>
            <w:name w:val="Text6"/>
            <w:enabled/>
            <w:calcOnExit w:val="0"/>
            <w:textInput>
              <w:default w:val="现金分配"/>
            </w:textInput>
          </w:ffData>
        </w:fldChar>
      </w:r>
      <w:r>
        <w:rPr>
          <w:color w:val="000000"/>
          <w:kern w:val="44"/>
          <w:szCs w:val="21"/>
        </w:rPr>
        <w:instrText xml:space="preserve"> FORMTEXT </w:instrText>
      </w:r>
      <w:r>
        <w:rPr>
          <w:color w:val="000000"/>
          <w:kern w:val="44"/>
          <w:szCs w:val="21"/>
        </w:rPr>
        <w:fldChar w:fldCharType="separate"/>
      </w:r>
      <w:r>
        <w:rPr>
          <w:color w:val="000000"/>
          <w:kern w:val="44"/>
          <w:szCs w:val="21"/>
        </w:rPr>
        <w:t>现金分配</w:t>
      </w:r>
      <w:r>
        <w:rPr>
          <w:color w:val="000000"/>
          <w:kern w:val="44"/>
          <w:szCs w:val="21"/>
        </w:rPr>
        <w:fldChar w:fldCharType="end"/>
      </w:r>
      <w:r>
        <w:rPr>
          <w:color w:val="000000"/>
          <w:kern w:val="44"/>
          <w:szCs w:val="21"/>
        </w:rPr>
        <w:t>。</w:t>
      </w:r>
    </w:p>
    <w:p>
      <w:pPr>
        <w:autoSpaceDE w:val="0"/>
        <w:autoSpaceDN w:val="0"/>
        <w:adjustRightInd w:val="0"/>
        <w:spacing w:line="360" w:lineRule="auto"/>
        <w:ind w:firstLine="420" w:firstLineChars="200"/>
        <w:rPr>
          <w:color w:val="000000"/>
          <w:kern w:val="44"/>
          <w:szCs w:val="21"/>
        </w:rPr>
      </w:pPr>
      <w:r>
        <w:rPr>
          <w:color w:val="000000"/>
          <w:kern w:val="44"/>
          <w:szCs w:val="21"/>
        </w:rPr>
        <w:t>3.本理财产品每一理财产品份额享有同等分配权。</w:t>
      </w:r>
    </w:p>
    <w:p>
      <w:pPr>
        <w:autoSpaceDE w:val="0"/>
        <w:autoSpaceDN w:val="0"/>
        <w:adjustRightInd w:val="0"/>
        <w:spacing w:line="360" w:lineRule="auto"/>
        <w:ind w:firstLine="420" w:firstLineChars="200"/>
        <w:rPr>
          <w:color w:val="000000"/>
          <w:kern w:val="44"/>
          <w:szCs w:val="21"/>
        </w:rPr>
      </w:pPr>
      <w:r>
        <w:rPr>
          <w:color w:val="000000"/>
          <w:kern w:val="44"/>
          <w:szCs w:val="21"/>
        </w:rPr>
        <w:t>4.理财产品收益分配后理财产品份额净值不能低于面值，即理财产品收益分配基准日的理财产品份额净值减去每单位理财产品份额收益分配金额后不能低于面值。</w:t>
      </w:r>
    </w:p>
    <w:p>
      <w:pPr>
        <w:autoSpaceDE w:val="0"/>
        <w:autoSpaceDN w:val="0"/>
        <w:adjustRightInd w:val="0"/>
        <w:spacing w:line="360" w:lineRule="auto"/>
        <w:ind w:firstLine="422" w:firstLineChars="200"/>
        <w:rPr>
          <w:b/>
          <w:bCs/>
          <w:color w:val="000000"/>
          <w:kern w:val="44"/>
          <w:szCs w:val="21"/>
        </w:rPr>
      </w:pPr>
      <w:r>
        <w:rPr>
          <w:b/>
          <w:bCs/>
          <w:color w:val="000000"/>
          <w:kern w:val="44"/>
          <w:szCs w:val="21"/>
        </w:rPr>
        <w:t>5.在对理财产品份额持有人利益无实质不利影响的前提下，管理人可调整理财产品收益的分配原则和支付方式。投资者对此无异议，并确认前述事宜无需另行征得投资者的同意。</w:t>
      </w:r>
    </w:p>
    <w:p>
      <w:pPr>
        <w:autoSpaceDE w:val="0"/>
        <w:autoSpaceDN w:val="0"/>
        <w:adjustRightInd w:val="0"/>
        <w:spacing w:line="360" w:lineRule="auto"/>
        <w:ind w:firstLine="422" w:firstLineChars="200"/>
        <w:rPr>
          <w:color w:val="000000"/>
          <w:kern w:val="0"/>
          <w:szCs w:val="21"/>
        </w:rPr>
      </w:pPr>
      <w:r>
        <w:rPr>
          <w:b/>
          <w:bCs/>
          <w:color w:val="000000"/>
          <w:kern w:val="44"/>
          <w:szCs w:val="21"/>
        </w:rPr>
        <w:t>（四）期间收益分配方式</w:t>
      </w:r>
      <w:r>
        <w:rPr>
          <w:color w:val="000000"/>
          <w:kern w:val="0"/>
          <w:szCs w:val="21"/>
        </w:rPr>
        <w:fldChar w:fldCharType="begin">
          <w:ffData>
            <w:name w:val="Text18"/>
            <w:enabled/>
            <w:calcOnExit w:val="0"/>
            <w:textInput>
              <w:default w:val="仅限现金分配"/>
            </w:textInput>
          </w:ffData>
        </w:fldChar>
      </w:r>
      <w:r>
        <w:rPr>
          <w:color w:val="000000"/>
          <w:kern w:val="0"/>
          <w:szCs w:val="21"/>
        </w:rPr>
        <w:instrText xml:space="preserve">FORMTEXT</w:instrText>
      </w:r>
      <w:r>
        <w:rPr>
          <w:color w:val="000000"/>
          <w:kern w:val="0"/>
          <w:szCs w:val="21"/>
        </w:rPr>
        <w:fldChar w:fldCharType="separate"/>
      </w:r>
    </w:p>
    <w:p>
      <w:pPr>
        <w:autoSpaceDE w:val="0"/>
        <w:autoSpaceDN w:val="0"/>
        <w:adjustRightInd w:val="0"/>
        <w:spacing w:line="360" w:lineRule="auto"/>
        <w:ind w:firstLine="420" w:firstLineChars="200"/>
        <w:rPr>
          <w:color w:val="000000"/>
          <w:kern w:val="0"/>
          <w:szCs w:val="21"/>
        </w:rPr>
      </w:pPr>
      <w:r>
        <w:rPr>
          <w:color w:val="000000"/>
          <w:kern w:val="0"/>
          <w:szCs w:val="21"/>
        </w:rPr>
        <w:fldChar w:fldCharType="end"/>
      </w:r>
      <w:r>
        <w:rPr>
          <w:color w:val="000000"/>
          <w:kern w:val="0"/>
          <w:szCs w:val="21"/>
        </w:rPr>
        <w:fldChar w:fldCharType="begin">
          <w:ffData>
            <w:name w:val="Text22"/>
            <w:enabled/>
            <w:calcOnExit w:val="0"/>
            <w:textInput/>
          </w:ffData>
        </w:fldChar>
      </w:r>
      <w:r>
        <w:rPr>
          <w:color w:val="000000"/>
          <w:kern w:val="0"/>
          <w:szCs w:val="21"/>
        </w:rPr>
        <w:instrText xml:space="preserve">FORMTEXT</w:instrText>
      </w:r>
      <w:r>
        <w:rPr>
          <w:color w:val="000000"/>
          <w:kern w:val="0"/>
          <w:szCs w:val="21"/>
        </w:rPr>
        <w:fldChar w:fldCharType="separate"/>
      </w:r>
      <w:r>
        <w:rPr>
          <w:rFonts w:hint="eastAsia"/>
          <w:color w:val="000000"/>
          <w:kern w:val="0"/>
          <w:szCs w:val="21"/>
        </w:rPr>
        <w:t>本理财产品</w:t>
      </w:r>
      <w:r>
        <w:rPr>
          <w:color w:val="000000"/>
          <w:kern w:val="0"/>
          <w:szCs w:val="21"/>
        </w:rPr>
        <w:t>在满足收益分配基准日理财产品收益可分配的前提下，管理人有权进行收益分配。管理人将根据理财产品的运作情况决定收益分配基准日、收益分配对象、当次分配比例或金额、权益登记日、除息日和红利发放日等内容，</w:t>
      </w:r>
      <w:r>
        <w:rPr>
          <w:color w:val="000000"/>
          <w:kern w:val="44"/>
          <w:szCs w:val="21"/>
        </w:rPr>
        <w:t>并将于</w:t>
      </w:r>
      <w:r>
        <w:rPr>
          <w:color w:val="000000"/>
          <w:kern w:val="44"/>
          <w:szCs w:val="21"/>
        </w:rPr>
        <w:fldChar w:fldCharType="begin">
          <w:ffData>
            <w:name w:val="Text9"/>
            <w:enabled/>
            <w:calcOnExit w:val="0"/>
            <w:textInput/>
          </w:ffData>
        </w:fldChar>
      </w:r>
      <w:r>
        <w:rPr>
          <w:color w:val="000000"/>
          <w:kern w:val="44"/>
          <w:szCs w:val="21"/>
        </w:rPr>
        <w:instrText xml:space="preserve">FORMTEXT</w:instrText>
      </w:r>
      <w:r>
        <w:rPr>
          <w:color w:val="000000"/>
          <w:kern w:val="44"/>
          <w:szCs w:val="21"/>
        </w:rPr>
        <w:fldChar w:fldCharType="separate"/>
      </w:r>
      <w:r>
        <w:rPr>
          <w:color w:val="000000"/>
          <w:kern w:val="44"/>
          <w:szCs w:val="21"/>
        </w:rPr>
        <w:t>除息日前</w:t>
      </w:r>
      <w:r>
        <w:rPr>
          <w:color w:val="000000"/>
          <w:kern w:val="44"/>
          <w:szCs w:val="21"/>
        </w:rPr>
        <w:fldChar w:fldCharType="end"/>
      </w:r>
      <w:r>
        <w:rPr>
          <w:rFonts w:hint="eastAsia"/>
          <w:color w:val="000000"/>
          <w:kern w:val="44"/>
          <w:szCs w:val="21"/>
        </w:rPr>
        <w:t>至少一</w:t>
      </w:r>
      <w:r>
        <w:rPr>
          <w:color w:val="000000"/>
          <w:kern w:val="44"/>
          <w:szCs w:val="21"/>
        </w:rPr>
        <w:t>个工作日通过《投资者权益须知》</w:t>
      </w:r>
      <w:r>
        <w:rPr>
          <w:rFonts w:hint="eastAsia"/>
          <w:color w:val="000000"/>
          <w:kern w:val="44"/>
          <w:szCs w:val="21"/>
        </w:rPr>
        <w:t>“</w:t>
      </w:r>
      <w:r>
        <w:rPr>
          <w:color w:val="000000"/>
          <w:kern w:val="44"/>
          <w:szCs w:val="21"/>
        </w:rPr>
        <w:t>信息披露</w:t>
      </w:r>
      <w:r>
        <w:rPr>
          <w:rFonts w:hint="eastAsia"/>
          <w:color w:val="000000"/>
          <w:kern w:val="44"/>
          <w:szCs w:val="21"/>
        </w:rPr>
        <w:t>”</w:t>
      </w:r>
      <w:r>
        <w:rPr>
          <w:color w:val="000000"/>
          <w:kern w:val="44"/>
          <w:szCs w:val="21"/>
        </w:rPr>
        <w:t>约定的方式，向投资者披露。</w:t>
      </w:r>
      <w:r>
        <w:rPr>
          <w:color w:val="000000"/>
          <w:kern w:val="0"/>
          <w:szCs w:val="21"/>
        </w:rPr>
        <w:fldChar w:fldCharType="end"/>
      </w:r>
    </w:p>
    <w:p>
      <w:pPr>
        <w:autoSpaceDE w:val="0"/>
        <w:autoSpaceDN w:val="0"/>
        <w:adjustRightInd w:val="0"/>
        <w:spacing w:line="360" w:lineRule="auto"/>
        <w:ind w:firstLine="422" w:firstLineChars="200"/>
        <w:rPr>
          <w:b/>
          <w:bCs/>
          <w:color w:val="000000"/>
          <w:kern w:val="44"/>
          <w:szCs w:val="21"/>
        </w:rPr>
      </w:pPr>
      <w:r>
        <w:rPr>
          <w:b/>
          <w:bCs/>
          <w:color w:val="000000"/>
          <w:kern w:val="44"/>
          <w:szCs w:val="21"/>
        </w:rPr>
        <w:t>（五）期间分配投资本金</w:t>
      </w:r>
    </w:p>
    <w:p>
      <w:pPr>
        <w:autoSpaceDE w:val="0"/>
        <w:autoSpaceDN w:val="0"/>
        <w:adjustRightInd w:val="0"/>
        <w:spacing w:line="360" w:lineRule="auto"/>
        <w:ind w:firstLine="420" w:firstLineChars="200"/>
        <w:rPr>
          <w:color w:val="000000"/>
          <w:kern w:val="44"/>
          <w:szCs w:val="21"/>
        </w:rPr>
      </w:pPr>
      <w:r>
        <w:rPr>
          <w:color w:val="000000"/>
          <w:kern w:val="44"/>
          <w:szCs w:val="21"/>
        </w:rPr>
        <w:t>根据本合同约定，管理人可部分提前终止一定份额的理财产品份额，管理人将通过《投资者权益须知》“信息披露”约定的方式向投资者提前披露注销理财份额日（以管理人确定的为准）、当次分配金额、分配金额的到账日等，具体分配以实际到账为准。期间分配投资本金原则及方式：</w:t>
      </w:r>
    </w:p>
    <w:p>
      <w:pPr>
        <w:autoSpaceDE w:val="0"/>
        <w:autoSpaceDN w:val="0"/>
        <w:adjustRightInd w:val="0"/>
        <w:spacing w:line="360" w:lineRule="auto"/>
        <w:ind w:firstLine="420" w:firstLineChars="200"/>
        <w:rPr>
          <w:color w:val="000000"/>
          <w:kern w:val="44"/>
          <w:szCs w:val="21"/>
        </w:rPr>
      </w:pPr>
      <w:r>
        <w:rPr>
          <w:color w:val="000000"/>
          <w:kern w:val="44"/>
          <w:szCs w:val="21"/>
        </w:rPr>
        <w:t>（1）当管理人确定期间分配投资本金比例或总额时，将计算理财产品份额持有人可获得支付的现金以及注销的理财产品份额数量，将可获支付的现金向理财产品份额持有人进行支付，并于注销理财份额日自动注销投资者所持拟注销数量的理财产品份额。上述自动注销理财产品份额由管理人发起，而无需理财产品份额持有人另行提交申请。</w:t>
      </w:r>
    </w:p>
    <w:p>
      <w:pPr>
        <w:widowControl/>
        <w:autoSpaceDE w:val="0"/>
        <w:autoSpaceDN w:val="0"/>
        <w:adjustRightInd w:val="0"/>
        <w:spacing w:line="360" w:lineRule="auto"/>
        <w:ind w:firstLine="420" w:firstLineChars="200"/>
        <w:jc w:val="left"/>
        <w:rPr>
          <w:color w:val="000000"/>
          <w:kern w:val="44"/>
          <w:szCs w:val="21"/>
        </w:rPr>
      </w:pPr>
      <w:r>
        <w:rPr>
          <w:color w:val="000000"/>
          <w:kern w:val="44"/>
          <w:szCs w:val="21"/>
        </w:rPr>
        <w:t>（2）每一理财产品份额持有人享有同等分配权，不存在先后分配顺序。</w:t>
      </w:r>
    </w:p>
    <w:p>
      <w:pPr>
        <w:widowControl/>
        <w:autoSpaceDE w:val="0"/>
        <w:autoSpaceDN w:val="0"/>
        <w:adjustRightInd w:val="0"/>
        <w:spacing w:line="360" w:lineRule="auto"/>
        <w:ind w:firstLine="420" w:firstLineChars="200"/>
        <w:rPr>
          <w:color w:val="000000"/>
          <w:kern w:val="44"/>
          <w:szCs w:val="21"/>
          <w:lang w:bidi="ar"/>
        </w:rPr>
      </w:pPr>
      <w:r>
        <w:rPr>
          <w:color w:val="000000"/>
          <w:kern w:val="44"/>
          <w:szCs w:val="21"/>
        </w:rPr>
        <w:t>（3）</w:t>
      </w:r>
      <w:r>
        <w:rPr>
          <w:b/>
          <w:bCs/>
          <w:color w:val="000000"/>
          <w:kern w:val="44"/>
          <w:szCs w:val="21"/>
        </w:rPr>
        <w:t>在对理财产品份额持有人利益无实质不利影响的前提下，管理人可调整理财产品期间分配投资本金的分配原则和支付方式。投资者对此无异议，并确认前述事宜无需另行征得投资者的同意</w:t>
      </w:r>
      <w:r>
        <w:rPr>
          <w:color w:val="000000"/>
          <w:kern w:val="44"/>
          <w:szCs w:val="21"/>
          <w:lang w:bidi="ar"/>
        </w:rPr>
        <w:t>。</w:t>
      </w:r>
    </w:p>
    <w:p>
      <w:pPr>
        <w:widowControl/>
        <w:autoSpaceDE w:val="0"/>
        <w:autoSpaceDN w:val="0"/>
        <w:adjustRightInd w:val="0"/>
        <w:spacing w:line="360" w:lineRule="auto"/>
        <w:ind w:firstLine="422" w:firstLineChars="200"/>
        <w:rPr>
          <w:b/>
          <w:bCs/>
          <w:color w:val="000000"/>
          <w:kern w:val="44"/>
          <w:szCs w:val="21"/>
        </w:rPr>
      </w:pPr>
      <w:r>
        <w:rPr>
          <w:b/>
          <w:bCs/>
          <w:color w:val="000000"/>
          <w:kern w:val="44"/>
          <w:szCs w:val="21"/>
          <w:lang w:bidi="ar"/>
        </w:rPr>
        <w:t>为避免歧义，投资本金的称谓仅为方便计算投资者可获得支付的现金而创设的，并非对投资者投资不受损失的承诺。</w:t>
      </w:r>
    </w:p>
    <w:p>
      <w:pPr>
        <w:autoSpaceDE w:val="0"/>
        <w:autoSpaceDN w:val="0"/>
        <w:adjustRightInd w:val="0"/>
        <w:spacing w:line="360" w:lineRule="auto"/>
        <w:ind w:firstLine="422" w:firstLineChars="200"/>
        <w:rPr>
          <w:b/>
          <w:bCs/>
          <w:color w:val="000000"/>
          <w:kern w:val="44"/>
          <w:szCs w:val="21"/>
        </w:rPr>
      </w:pPr>
      <w:r>
        <w:rPr>
          <w:b/>
          <w:bCs/>
          <w:color w:val="000000"/>
          <w:kern w:val="44"/>
          <w:szCs w:val="21"/>
        </w:rPr>
        <w:t>（</w:t>
      </w:r>
      <w:r>
        <w:rPr>
          <w:rFonts w:hint="eastAsia"/>
          <w:b/>
          <w:bCs/>
          <w:color w:val="000000"/>
          <w:kern w:val="44"/>
          <w:szCs w:val="21"/>
        </w:rPr>
        <w:t>六</w:t>
      </w:r>
      <w:r>
        <w:rPr>
          <w:b/>
          <w:bCs/>
          <w:color w:val="000000"/>
          <w:kern w:val="44"/>
          <w:szCs w:val="21"/>
        </w:rPr>
        <w:t>）终止分配</w:t>
      </w:r>
    </w:p>
    <w:p>
      <w:pPr>
        <w:autoSpaceDE w:val="0"/>
        <w:autoSpaceDN w:val="0"/>
        <w:adjustRightInd w:val="0"/>
        <w:spacing w:line="360" w:lineRule="auto"/>
        <w:ind w:firstLine="420" w:firstLineChars="200"/>
        <w:rPr>
          <w:color w:val="000000"/>
          <w:kern w:val="44"/>
          <w:szCs w:val="21"/>
        </w:rPr>
      </w:pPr>
      <w:r>
        <w:rPr>
          <w:color w:val="000000"/>
          <w:kern w:val="44"/>
          <w:szCs w:val="21"/>
        </w:rPr>
        <w:t>1.就终止分配而言，在理财产品终止日如理财产品项下财产全部变现，管理人在理财产品终止日后的</w:t>
      </w:r>
      <w:bookmarkStart w:id="47" w:name="Text9"/>
      <w:r>
        <w:rPr>
          <w:color w:val="000000"/>
          <w:kern w:val="44"/>
          <w:szCs w:val="21"/>
        </w:rPr>
        <w:fldChar w:fldCharType="begin">
          <w:ffData>
            <w:name w:val="Text9"/>
            <w:enabled/>
            <w:calcOnExit w:val="0"/>
            <w:textInput>
              <w:default w:val="两个交易日"/>
            </w:textInput>
          </w:ffData>
        </w:fldChar>
      </w:r>
      <w:r>
        <w:rPr>
          <w:color w:val="000000"/>
          <w:kern w:val="44"/>
          <w:szCs w:val="21"/>
        </w:rPr>
        <w:instrText xml:space="preserve">FORMTEXT</w:instrText>
      </w:r>
      <w:r>
        <w:rPr>
          <w:color w:val="000000"/>
          <w:kern w:val="44"/>
          <w:szCs w:val="21"/>
        </w:rPr>
        <w:fldChar w:fldCharType="separate"/>
      </w:r>
      <w:r>
        <w:rPr>
          <w:color w:val="000000"/>
          <w:kern w:val="44"/>
          <w:szCs w:val="21"/>
        </w:rPr>
        <w:t>两个交易日</w:t>
      </w:r>
      <w:r>
        <w:rPr>
          <w:color w:val="000000"/>
          <w:kern w:val="44"/>
          <w:szCs w:val="21"/>
        </w:rPr>
        <w:fldChar w:fldCharType="end"/>
      </w:r>
      <w:bookmarkEnd w:id="47"/>
      <w:r>
        <w:rPr>
          <w:color w:val="000000"/>
          <w:kern w:val="44"/>
          <w:szCs w:val="21"/>
        </w:rPr>
        <w:t>内扣除应由理财产品承担的税费及费用后将投资者应得资金（如有，下同）划转至投资者指定账户。</w:t>
      </w:r>
    </w:p>
    <w:p>
      <w:pPr>
        <w:autoSpaceDE w:val="0"/>
        <w:autoSpaceDN w:val="0"/>
        <w:adjustRightInd w:val="0"/>
        <w:spacing w:line="360" w:lineRule="auto"/>
        <w:ind w:firstLine="420" w:firstLineChars="200"/>
        <w:rPr>
          <w:color w:val="000000"/>
          <w:kern w:val="44"/>
          <w:szCs w:val="21"/>
        </w:rPr>
      </w:pPr>
      <w:r>
        <w:rPr>
          <w:color w:val="000000"/>
          <w:kern w:val="44"/>
          <w:szCs w:val="21"/>
        </w:rPr>
        <w:t>2.理财产品项下财产正常变现情况下，投资者在终止日可得资金（如有，下同）计算公式如下：</w:t>
      </w:r>
    </w:p>
    <w:p>
      <w:pPr>
        <w:autoSpaceDE w:val="0"/>
        <w:autoSpaceDN w:val="0"/>
        <w:adjustRightInd w:val="0"/>
        <w:spacing w:line="360" w:lineRule="auto"/>
        <w:ind w:firstLine="420" w:firstLineChars="200"/>
        <w:rPr>
          <w:color w:val="000000"/>
          <w:kern w:val="44"/>
          <w:szCs w:val="21"/>
        </w:rPr>
      </w:pPr>
      <w:r>
        <w:rPr>
          <w:color w:val="000000"/>
          <w:kern w:val="44"/>
          <w:szCs w:val="21"/>
        </w:rPr>
        <w:t>投资者可得资金=</w:t>
      </w:r>
      <w:r>
        <w:rPr>
          <w:rFonts w:hint="eastAsia"/>
          <w:color w:val="000000"/>
          <w:kern w:val="44"/>
          <w:szCs w:val="21"/>
          <w:highlight w:val="none"/>
          <w:lang w:val="en-US" w:eastAsia="zh-CN"/>
        </w:rPr>
        <w:t>投资者持有期该类份额比例</w:t>
      </w:r>
      <w:r>
        <w:rPr>
          <w:color w:val="000000"/>
          <w:kern w:val="44"/>
          <w:szCs w:val="21"/>
          <w:highlight w:val="none"/>
        </w:rPr>
        <w:t>×</w:t>
      </w:r>
      <w:r>
        <w:rPr>
          <w:rFonts w:hint="eastAsia"/>
          <w:color w:val="000000"/>
          <w:kern w:val="44"/>
          <w:szCs w:val="21"/>
          <w:highlight w:val="none"/>
          <w:lang w:val="en-US" w:eastAsia="zh-CN"/>
        </w:rPr>
        <w:t>产品存续期末该类份额可分配资金</w:t>
      </w:r>
    </w:p>
    <w:p>
      <w:pPr>
        <w:autoSpaceDE w:val="0"/>
        <w:autoSpaceDN w:val="0"/>
        <w:adjustRightInd w:val="0"/>
        <w:spacing w:line="360" w:lineRule="auto"/>
        <w:ind w:firstLine="420" w:firstLineChars="200"/>
        <w:rPr>
          <w:color w:val="000000"/>
          <w:kern w:val="44"/>
          <w:szCs w:val="21"/>
        </w:rPr>
      </w:pPr>
      <w:r>
        <w:rPr>
          <w:rFonts w:hint="default"/>
          <w:color w:val="000000"/>
          <w:kern w:val="44"/>
          <w:szCs w:val="21"/>
          <w:highlight w:val="none"/>
          <w:lang w:val="en-US" w:eastAsia="zh-CN"/>
        </w:rPr>
        <w:t>投资者持有该类份额比例=投资者持有该类份额/产品该类份额总份额</w:t>
      </w:r>
    </w:p>
    <w:p>
      <w:pPr>
        <w:autoSpaceDE w:val="0"/>
        <w:autoSpaceDN w:val="0"/>
        <w:adjustRightInd w:val="0"/>
        <w:spacing w:line="360" w:lineRule="auto"/>
        <w:ind w:firstLine="420" w:firstLineChars="200"/>
        <w:rPr>
          <w:color w:val="000000"/>
          <w:kern w:val="44"/>
          <w:szCs w:val="21"/>
        </w:rPr>
      </w:pPr>
      <w:r>
        <w:rPr>
          <w:color w:val="000000"/>
          <w:kern w:val="44"/>
          <w:szCs w:val="21"/>
        </w:rPr>
        <w:t>由于本理财产品单位净值精确到</w:t>
      </w:r>
      <w:r>
        <w:rPr>
          <w:color w:val="000000"/>
          <w:kern w:val="44"/>
          <w:szCs w:val="21"/>
        </w:rPr>
        <w:fldChar w:fldCharType="begin">
          <w:ffData>
            <w:name w:val="Text42"/>
            <w:enabled/>
            <w:calcOnExit w:val="0"/>
            <w:textInput>
              <w:default w:val="0.0001"/>
            </w:textInput>
          </w:ffData>
        </w:fldChar>
      </w:r>
      <w:r>
        <w:rPr>
          <w:color w:val="000000"/>
          <w:kern w:val="44"/>
          <w:szCs w:val="21"/>
        </w:rPr>
        <w:instrText xml:space="preserve">FORMTEXT</w:instrText>
      </w:r>
      <w:r>
        <w:rPr>
          <w:color w:val="000000"/>
          <w:kern w:val="44"/>
          <w:szCs w:val="21"/>
        </w:rPr>
        <w:fldChar w:fldCharType="separate"/>
      </w:r>
      <w:r>
        <w:rPr>
          <w:color w:val="000000"/>
          <w:kern w:val="44"/>
          <w:szCs w:val="21"/>
        </w:rPr>
        <w:t>0.0001</w:t>
      </w:r>
      <w:r>
        <w:rPr>
          <w:color w:val="000000"/>
          <w:kern w:val="44"/>
          <w:szCs w:val="21"/>
        </w:rPr>
        <w:fldChar w:fldCharType="end"/>
      </w:r>
      <w:r>
        <w:rPr>
          <w:color w:val="000000"/>
          <w:kern w:val="44"/>
          <w:szCs w:val="21"/>
        </w:rPr>
        <w:t>元，故在终止分配情况下，投资者实际可得资金与上述公式计算所得可能有尾差影响，最终以实际分配金额为准。</w:t>
      </w:r>
    </w:p>
    <w:p>
      <w:pPr>
        <w:autoSpaceDE w:val="0"/>
        <w:autoSpaceDN w:val="0"/>
        <w:adjustRightInd w:val="0"/>
        <w:spacing w:line="360" w:lineRule="auto"/>
        <w:ind w:firstLine="420" w:firstLineChars="200"/>
        <w:rPr>
          <w:b/>
          <w:bCs/>
          <w:color w:val="000000"/>
          <w:kern w:val="44"/>
          <w:szCs w:val="21"/>
        </w:rPr>
      </w:pPr>
      <w:r>
        <w:rPr>
          <w:color w:val="000000"/>
          <w:kern w:val="44"/>
          <w:szCs w:val="21"/>
        </w:rPr>
        <w:t>3.理财产品终止日，如理财产品项下所投资的标的资产因市场风险、信用风险等原因不能全部变现或全部不能变现，则管理人将现金类资产（如有）扣除应由理财产品承担的税费及费用（包括但不限于固定管理费、销售费、托管费等）后，按照各投资者持有理财产品份额比例在</w:t>
      </w:r>
      <w:r>
        <w:rPr>
          <w:color w:val="000000"/>
          <w:kern w:val="44"/>
          <w:szCs w:val="21"/>
        </w:rPr>
        <w:fldChar w:fldCharType="begin">
          <w:ffData>
            <w:name w:val="Text9"/>
            <w:enabled/>
            <w:calcOnExit w:val="0"/>
            <w:textInput>
              <w:default w:val="两个交易日"/>
            </w:textInput>
          </w:ffData>
        </w:fldChar>
      </w:r>
      <w:r>
        <w:rPr>
          <w:color w:val="000000"/>
          <w:kern w:val="44"/>
          <w:szCs w:val="21"/>
        </w:rPr>
        <w:instrText xml:space="preserve">FORMTEXT</w:instrText>
      </w:r>
      <w:r>
        <w:rPr>
          <w:color w:val="000000"/>
          <w:kern w:val="44"/>
          <w:szCs w:val="21"/>
        </w:rPr>
        <w:fldChar w:fldCharType="separate"/>
      </w:r>
      <w:r>
        <w:rPr>
          <w:color w:val="000000"/>
          <w:kern w:val="44"/>
          <w:szCs w:val="21"/>
        </w:rPr>
        <w:t>两个交易日</w:t>
      </w:r>
      <w:r>
        <w:rPr>
          <w:color w:val="000000"/>
          <w:kern w:val="44"/>
          <w:szCs w:val="21"/>
        </w:rPr>
        <w:fldChar w:fldCharType="end"/>
      </w:r>
      <w:r>
        <w:rPr>
          <w:color w:val="000000"/>
          <w:kern w:val="44"/>
          <w:szCs w:val="21"/>
        </w:rPr>
        <w:t>内向投资者分配。对于未变现资产部分，管理人以投资者利益最大化的原则，寻求未变现资产变现方式，在资产变现后，扣除应由理财产品承担的费用（包括但不限于固定管理费、托管费等，由管理人、第三方垫付的费用）后，按照各投资者持有理财产品份额比例在</w:t>
      </w:r>
      <w:r>
        <w:rPr>
          <w:color w:val="000000"/>
          <w:kern w:val="44"/>
          <w:szCs w:val="21"/>
        </w:rPr>
        <w:fldChar w:fldCharType="begin">
          <w:ffData>
            <w:name w:val="Text9"/>
            <w:enabled/>
            <w:calcOnExit w:val="0"/>
            <w:textInput>
              <w:default w:val="两个交易日"/>
            </w:textInput>
          </w:ffData>
        </w:fldChar>
      </w:r>
      <w:r>
        <w:rPr>
          <w:color w:val="000000"/>
          <w:kern w:val="44"/>
          <w:szCs w:val="21"/>
        </w:rPr>
        <w:instrText xml:space="preserve">FORMTEXT</w:instrText>
      </w:r>
      <w:r>
        <w:rPr>
          <w:color w:val="000000"/>
          <w:kern w:val="44"/>
          <w:szCs w:val="21"/>
        </w:rPr>
        <w:fldChar w:fldCharType="separate"/>
      </w:r>
      <w:r>
        <w:rPr>
          <w:color w:val="000000"/>
          <w:kern w:val="44"/>
          <w:szCs w:val="21"/>
        </w:rPr>
        <w:t>两个交易日</w:t>
      </w:r>
      <w:r>
        <w:rPr>
          <w:color w:val="000000"/>
          <w:kern w:val="44"/>
          <w:szCs w:val="21"/>
        </w:rPr>
        <w:fldChar w:fldCharType="end"/>
      </w:r>
      <w:r>
        <w:rPr>
          <w:color w:val="000000"/>
          <w:kern w:val="44"/>
          <w:szCs w:val="21"/>
        </w:rPr>
        <w:t>内向投资者分配。</w:t>
      </w:r>
      <w:r>
        <w:rPr>
          <w:b/>
          <w:bCs/>
          <w:color w:val="000000"/>
          <w:kern w:val="44"/>
          <w:szCs w:val="21"/>
        </w:rPr>
        <w:t>资产变现期间，管理人、</w:t>
      </w:r>
      <w:r>
        <w:rPr>
          <w:rFonts w:hint="eastAsia"/>
          <w:b/>
          <w:bCs/>
          <w:color w:val="000000"/>
          <w:kern w:val="44"/>
          <w:szCs w:val="21"/>
        </w:rPr>
        <w:t>托管人</w:t>
      </w:r>
      <w:r>
        <w:rPr>
          <w:b/>
          <w:bCs/>
          <w:color w:val="000000"/>
          <w:kern w:val="44"/>
          <w:szCs w:val="21"/>
        </w:rPr>
        <w:t>、</w:t>
      </w:r>
      <w:r>
        <w:rPr>
          <w:rFonts w:hint="eastAsia"/>
          <w:b/>
          <w:bCs/>
          <w:color w:val="000000"/>
          <w:kern w:val="44"/>
          <w:szCs w:val="21"/>
        </w:rPr>
        <w:t>代理销售机构</w:t>
      </w:r>
      <w:r>
        <w:rPr>
          <w:b/>
          <w:bCs/>
          <w:color w:val="000000"/>
          <w:kern w:val="44"/>
          <w:szCs w:val="21"/>
        </w:rPr>
        <w:t>等仍有权按照本理财产品合同约定的费用计收标准继续收取固定管理费、托管费、销售费、业绩报酬等费用。</w:t>
      </w:r>
    </w:p>
    <w:p>
      <w:pPr>
        <w:spacing w:line="360" w:lineRule="auto"/>
        <w:rPr>
          <w:kern w:val="0"/>
        </w:rPr>
      </w:pPr>
    </w:p>
    <w:p>
      <w:pPr>
        <w:spacing w:line="360" w:lineRule="auto"/>
        <w:rPr>
          <w:b/>
          <w:kern w:val="0"/>
        </w:rPr>
      </w:pPr>
      <w:r>
        <w:rPr>
          <w:rFonts w:hint="eastAsia"/>
          <w:b/>
          <w:kern w:val="0"/>
        </w:rPr>
        <w:t>十</w:t>
      </w:r>
      <w:r>
        <w:rPr>
          <w:b/>
          <w:kern w:val="0"/>
        </w:rPr>
        <w:t>、理财产品不成立、提前终止、延期终止及清算</w:t>
      </w:r>
    </w:p>
    <w:p>
      <w:pPr>
        <w:spacing w:line="360" w:lineRule="auto"/>
        <w:ind w:firstLine="422" w:firstLineChars="200"/>
        <w:rPr>
          <w:b/>
          <w:kern w:val="0"/>
        </w:rPr>
      </w:pPr>
      <w:r>
        <w:rPr>
          <w:b/>
          <w:kern w:val="0"/>
        </w:rPr>
        <w:t>（一）理财产品不成立</w:t>
      </w:r>
    </w:p>
    <w:p>
      <w:pPr>
        <w:spacing w:line="360" w:lineRule="auto"/>
        <w:ind w:firstLine="420"/>
        <w:rPr>
          <w:b/>
          <w:kern w:val="0"/>
        </w:rPr>
      </w:pPr>
      <w:r>
        <w:rPr>
          <w:b/>
          <w:kern w:val="0"/>
        </w:rPr>
        <w:t>若由于不可抗力因素导致募集不成功，或因募集规模低于《理财产品说明书》约定的成立规模下限（如有），或其他非因管理人的原因导致本理财产品无法投资于理财产品合同所约定投资范围，或本理财产品在募集期内市场出现剧烈波动，可能对产品的投资收益表现带来严重影响，或发生其他导致本理财产品难以成立的原因的，经管理人谨慎合理判断难以按照理财产品合同约定向投资者提供本理财产品，管理人有权判定本理财产品不成立，并在</w:t>
      </w:r>
      <w:r>
        <w:rPr>
          <w:b/>
          <w:kern w:val="0"/>
        </w:rPr>
        <w:fldChar w:fldCharType="begin">
          <w:ffData>
            <w:name w:val="Text73"/>
            <w:enabled/>
            <w:calcOnExit w:val="0"/>
            <w:textInput>
              <w:default w:val="三个工作日"/>
            </w:textInput>
          </w:ffData>
        </w:fldChar>
      </w:r>
      <w:r>
        <w:rPr>
          <w:b/>
          <w:kern w:val="0"/>
        </w:rPr>
        <w:instrText xml:space="preserve">FORMTEXT</w:instrText>
      </w:r>
      <w:r>
        <w:rPr>
          <w:b/>
          <w:kern w:val="0"/>
        </w:rPr>
        <w:fldChar w:fldCharType="separate"/>
      </w:r>
      <w:r>
        <w:rPr>
          <w:b/>
          <w:kern w:val="0"/>
        </w:rPr>
        <w:t>三个工作日</w:t>
      </w:r>
      <w:r>
        <w:rPr>
          <w:b/>
          <w:kern w:val="0"/>
        </w:rPr>
        <w:fldChar w:fldCharType="end"/>
      </w:r>
      <w:r>
        <w:rPr>
          <w:b/>
          <w:kern w:val="0"/>
        </w:rPr>
        <w:t>内进行披露，投资者将承担投资本理财产品不成立的风险，交易资金将按照原路径在</w:t>
      </w:r>
      <w:bookmarkStart w:id="48" w:name="Text73"/>
      <w:r>
        <w:rPr>
          <w:rFonts w:ascii="Times New Roman" w:hAnsi="Times New Roman"/>
          <w:b/>
          <w:kern w:val="0"/>
          <w:sz w:val="21"/>
          <w:szCs w:val="24"/>
          <w:lang w:val="en-US" w:eastAsia="zh-CN" w:bidi="ar-SA"/>
        </w:rPr>
        <w:fldChar w:fldCharType="begin">
          <w:ffData>
            <w:name w:val="Text73"/>
            <w:enabled/>
            <w:calcOnExit w:val="0"/>
            <w:textInput>
              <w:default w:val="五个工作日"/>
            </w:textInput>
          </w:ffData>
        </w:fldChar>
      </w:r>
      <w:r>
        <w:rPr>
          <w:rFonts w:ascii="Times New Roman" w:hAnsi="Times New Roman"/>
          <w:b/>
          <w:kern w:val="0"/>
          <w:sz w:val="21"/>
          <w:szCs w:val="24"/>
          <w:lang w:val="en-US" w:eastAsia="zh-CN" w:bidi="ar-SA"/>
        </w:rPr>
        <w:instrText xml:space="preserve">FORMTEXT</w:instrText>
      </w:r>
      <w:r>
        <w:rPr>
          <w:rFonts w:ascii="Times New Roman" w:hAnsi="Times New Roman"/>
          <w:b/>
          <w:kern w:val="0"/>
          <w:sz w:val="21"/>
          <w:szCs w:val="24"/>
          <w:lang w:val="en-US" w:eastAsia="zh-CN" w:bidi="ar-SA"/>
        </w:rPr>
        <w:fldChar w:fldCharType="separate"/>
      </w:r>
      <w:r>
        <w:rPr>
          <w:rFonts w:ascii="Times New Roman" w:hAnsi="Times New Roman"/>
          <w:b/>
          <w:kern w:val="0"/>
          <w:sz w:val="21"/>
          <w:szCs w:val="24"/>
          <w:lang w:val="en-US" w:eastAsia="zh-CN" w:bidi="ar-SA"/>
        </w:rPr>
        <w:t>五个工作日</w:t>
      </w:r>
      <w:r>
        <w:rPr>
          <w:rFonts w:ascii="Times New Roman" w:hAnsi="Times New Roman"/>
          <w:b/>
          <w:kern w:val="0"/>
          <w:sz w:val="21"/>
          <w:szCs w:val="24"/>
          <w:lang w:val="en-US" w:eastAsia="zh-CN" w:bidi="ar-SA"/>
        </w:rPr>
        <w:fldChar w:fldCharType="end"/>
      </w:r>
      <w:bookmarkEnd w:id="48"/>
      <w:r>
        <w:rPr>
          <w:b/>
          <w:kern w:val="0"/>
        </w:rPr>
        <w:t>内</w:t>
      </w:r>
      <w:r>
        <w:rPr>
          <w:rFonts w:hint="eastAsia"/>
          <w:b/>
          <w:kern w:val="0"/>
        </w:rPr>
        <w:t>退</w:t>
      </w:r>
      <w:r>
        <w:rPr>
          <w:b/>
          <w:kern w:val="0"/>
        </w:rPr>
        <w:t>还至投资者交易账户</w:t>
      </w:r>
      <w:bookmarkStart w:id="49" w:name="Text77"/>
      <w:r>
        <w:rPr>
          <w:rFonts w:hint="default" w:ascii="Times New Roman" w:hAnsi="Times New Roman" w:cs="Times New Roman"/>
          <w:b/>
          <w:bCs w:val="0"/>
          <w:color w:val="000000"/>
          <w:kern w:val="0"/>
          <w:sz w:val="21"/>
          <w:szCs w:val="21"/>
          <w:highlight w:val="none"/>
          <w:lang w:val="en-US" w:eastAsia="zh-CN" w:bidi="ar-SA"/>
        </w:rPr>
        <w:fldChar w:fldCharType="begin">
          <w:ffData>
            <w:name w:val="Text77"/>
            <w:enabled/>
            <w:calcOnExit w:val="0"/>
            <w:textInput>
              <w:default w:val="，如产生活期存款利息，一并加计（具体以代理销售机构为准）"/>
            </w:textInput>
          </w:ffData>
        </w:fldChar>
      </w:r>
      <w:r>
        <w:rPr>
          <w:rFonts w:hint="default" w:ascii="Times New Roman" w:hAnsi="Times New Roman" w:cs="Times New Roman"/>
          <w:b/>
          <w:bCs w:val="0"/>
          <w:color w:val="000000"/>
          <w:kern w:val="0"/>
          <w:sz w:val="21"/>
          <w:szCs w:val="21"/>
          <w:highlight w:val="none"/>
          <w:lang w:val="en-US" w:eastAsia="zh-CN" w:bidi="ar-SA"/>
        </w:rPr>
        <w:instrText xml:space="preserve">FORMTEXT</w:instrText>
      </w:r>
      <w:r>
        <w:rPr>
          <w:rFonts w:hint="default" w:ascii="Times New Roman" w:hAnsi="Times New Roman" w:cs="Times New Roman"/>
          <w:b/>
          <w:bCs w:val="0"/>
          <w:color w:val="000000"/>
          <w:kern w:val="0"/>
          <w:sz w:val="21"/>
          <w:szCs w:val="21"/>
          <w:highlight w:val="none"/>
          <w:lang w:val="en-US" w:eastAsia="zh-CN" w:bidi="ar-SA"/>
        </w:rPr>
        <w:fldChar w:fldCharType="separate"/>
      </w:r>
      <w:r>
        <w:rPr>
          <w:rFonts w:hint="default" w:ascii="Times New Roman" w:hAnsi="Times New Roman" w:cs="Times New Roman"/>
          <w:b/>
          <w:bCs w:val="0"/>
          <w:color w:val="000000"/>
          <w:kern w:val="0"/>
          <w:sz w:val="21"/>
          <w:szCs w:val="21"/>
          <w:highlight w:val="none"/>
          <w:lang w:val="en-US" w:eastAsia="zh-CN" w:bidi="ar-SA"/>
        </w:rPr>
        <w:t>，如产生活期存款利息，一并加计（具体以代理销售机构为准）</w:t>
      </w:r>
      <w:r>
        <w:rPr>
          <w:rFonts w:hint="default" w:ascii="Times New Roman" w:hAnsi="Times New Roman" w:cs="Times New Roman"/>
          <w:b/>
          <w:bCs w:val="0"/>
          <w:color w:val="000000"/>
          <w:kern w:val="0"/>
          <w:sz w:val="21"/>
          <w:szCs w:val="21"/>
          <w:highlight w:val="none"/>
          <w:lang w:val="en-US" w:eastAsia="zh-CN" w:bidi="ar-SA"/>
        </w:rPr>
        <w:fldChar w:fldCharType="end"/>
      </w:r>
      <w:bookmarkEnd w:id="49"/>
      <w:r>
        <w:rPr>
          <w:b/>
          <w:kern w:val="0"/>
        </w:rPr>
        <w:t>。</w:t>
      </w:r>
    </w:p>
    <w:p>
      <w:pPr>
        <w:spacing w:line="360" w:lineRule="auto"/>
        <w:ind w:firstLine="422" w:firstLineChars="200"/>
        <w:rPr>
          <w:b/>
          <w:kern w:val="0"/>
        </w:rPr>
      </w:pPr>
      <w:r>
        <w:rPr>
          <w:b/>
          <w:kern w:val="44"/>
        </w:rPr>
        <w:t>（二）</w:t>
      </w:r>
      <w:r>
        <w:rPr>
          <w:b/>
          <w:kern w:val="0"/>
        </w:rPr>
        <w:t>理财产品提前终止/部分提前终止</w:t>
      </w:r>
    </w:p>
    <w:p>
      <w:pPr>
        <w:spacing w:line="360" w:lineRule="auto"/>
        <w:ind w:firstLine="420"/>
        <w:rPr>
          <w:rFonts w:hint="eastAsia"/>
          <w:b/>
          <w:kern w:val="0"/>
        </w:rPr>
      </w:pPr>
      <w:r>
        <w:rPr>
          <w:rFonts w:hint="eastAsia"/>
          <w:b/>
          <w:kern w:val="0"/>
        </w:rPr>
        <w:t>除理财产品合同另有约定外，本理财产品于到期日终止。</w:t>
      </w:r>
    </w:p>
    <w:p>
      <w:pPr>
        <w:spacing w:line="360" w:lineRule="auto"/>
        <w:ind w:firstLine="420"/>
        <w:rPr>
          <w:b/>
          <w:kern w:val="0"/>
        </w:rPr>
      </w:pPr>
      <w:r>
        <w:rPr>
          <w:b/>
          <w:kern w:val="0"/>
        </w:rPr>
        <w:t>在理财产品存续期间，如出现包括但不限于以下情形，管理人有权提前终止/部分提前终止本理财产品：</w:t>
      </w:r>
    </w:p>
    <w:p>
      <w:pPr>
        <w:spacing w:line="360" w:lineRule="auto"/>
        <w:ind w:firstLine="420"/>
        <w:rPr>
          <w:bCs/>
          <w:kern w:val="0"/>
        </w:rPr>
      </w:pPr>
      <w:r>
        <w:rPr>
          <w:bCs/>
          <w:kern w:val="0"/>
        </w:rPr>
        <w:t>（1）国家政策出现重大调整并影响到本理财产品的正常运作；</w:t>
      </w:r>
    </w:p>
    <w:p>
      <w:pPr>
        <w:spacing w:line="360" w:lineRule="auto"/>
        <w:ind w:firstLine="420"/>
        <w:rPr>
          <w:bCs/>
          <w:kern w:val="0"/>
        </w:rPr>
      </w:pPr>
      <w:r>
        <w:rPr>
          <w:bCs/>
          <w:kern w:val="0"/>
        </w:rPr>
        <w:t>（2）市场收益率大幅波动、投资标的发生风险或因其他原因，并有可能或实质影响到本理财产品所能实现的投资收益；</w:t>
      </w:r>
    </w:p>
    <w:p>
      <w:pPr>
        <w:spacing w:line="360" w:lineRule="auto"/>
        <w:ind w:firstLine="420"/>
        <w:rPr>
          <w:bCs/>
          <w:kern w:val="0"/>
        </w:rPr>
      </w:pPr>
      <w:r>
        <w:rPr>
          <w:bCs/>
          <w:kern w:val="0"/>
        </w:rPr>
        <w:t>（3）</w:t>
      </w:r>
      <w:r>
        <w:rPr>
          <w:bCs/>
          <w:kern w:val="0"/>
          <w:szCs w:val="21"/>
        </w:rPr>
        <w:t>本理财产品所投资的资产提前终止；</w:t>
      </w:r>
    </w:p>
    <w:p>
      <w:pPr>
        <w:spacing w:line="360" w:lineRule="auto"/>
        <w:ind w:firstLine="420"/>
        <w:rPr>
          <w:bCs/>
          <w:kern w:val="0"/>
        </w:rPr>
      </w:pPr>
      <w:r>
        <w:rPr>
          <w:kern w:val="0"/>
          <w:szCs w:val="21"/>
        </w:rPr>
        <w:t>如管理人决定提前终止/部分提前终止</w:t>
      </w:r>
      <w:r>
        <w:rPr>
          <w:rFonts w:hint="eastAsia"/>
          <w:kern w:val="0"/>
          <w:szCs w:val="21"/>
        </w:rPr>
        <w:t>本理财产品</w:t>
      </w:r>
      <w:r>
        <w:rPr>
          <w:kern w:val="0"/>
          <w:szCs w:val="21"/>
        </w:rPr>
        <w:t>，应至少在提前终止日前一个工作日进行披露。</w:t>
      </w:r>
    </w:p>
    <w:p>
      <w:pPr>
        <w:spacing w:line="360" w:lineRule="auto"/>
        <w:ind w:firstLine="422" w:firstLineChars="200"/>
        <w:rPr>
          <w:b/>
          <w:kern w:val="44"/>
        </w:rPr>
      </w:pPr>
      <w:r>
        <w:rPr>
          <w:b/>
          <w:kern w:val="44"/>
        </w:rPr>
        <w:t>（三）理财产品延期终止</w:t>
      </w:r>
    </w:p>
    <w:p>
      <w:pPr>
        <w:spacing w:line="360" w:lineRule="auto"/>
        <w:ind w:firstLine="422" w:firstLineChars="200"/>
        <w:rPr>
          <w:b/>
          <w:kern w:val="0"/>
        </w:rPr>
      </w:pPr>
      <w:r>
        <w:rPr>
          <w:b/>
          <w:kern w:val="0"/>
        </w:rPr>
        <w:t>在理财产品存续期间，如因本理财产品所投资的资产无法变现而延期终止，管理人有权延期终止本理财产品，若</w:t>
      </w:r>
      <w:r>
        <w:rPr>
          <w:b/>
          <w:kern w:val="0"/>
          <w:szCs w:val="21"/>
        </w:rPr>
        <w:t>管理人</w:t>
      </w:r>
      <w:r>
        <w:rPr>
          <w:b/>
          <w:kern w:val="0"/>
        </w:rPr>
        <w:t>决定延期终止</w:t>
      </w:r>
      <w:r>
        <w:rPr>
          <w:b/>
          <w:kern w:val="0"/>
          <w:szCs w:val="21"/>
        </w:rPr>
        <w:t>本理财产品</w:t>
      </w:r>
      <w:r>
        <w:rPr>
          <w:b/>
          <w:kern w:val="0"/>
        </w:rPr>
        <w:t>，应至少在理财产品预计到期日前</w:t>
      </w:r>
      <w:r>
        <w:rPr>
          <w:b/>
          <w:bCs/>
          <w:color w:val="000000"/>
          <w:kern w:val="44"/>
          <w:sz w:val="21"/>
          <w:szCs w:val="21"/>
          <w:highlight w:val="none"/>
          <w:lang w:val="en-US" w:eastAsia="zh-CN" w:bidi="ar-SA"/>
        </w:rPr>
        <w:fldChar w:fldCharType="begin">
          <w:ffData>
            <w:name w:val="Text9"/>
            <w:enabled/>
            <w:calcOnExit w:val="0"/>
            <w:textInput>
              <w:default w:val="【二十】个工作日"/>
            </w:textInput>
          </w:ffData>
        </w:fldChar>
      </w:r>
      <w:r>
        <w:rPr>
          <w:b/>
          <w:bCs/>
          <w:color w:val="000000"/>
          <w:kern w:val="44"/>
          <w:sz w:val="21"/>
          <w:szCs w:val="21"/>
          <w:highlight w:val="none"/>
          <w:lang w:val="en-US" w:eastAsia="zh-CN" w:bidi="ar-SA"/>
        </w:rPr>
        <w:instrText xml:space="preserve">FORMTEXT</w:instrText>
      </w:r>
      <w:r>
        <w:rPr>
          <w:b/>
          <w:bCs/>
          <w:color w:val="000000"/>
          <w:kern w:val="44"/>
          <w:sz w:val="21"/>
          <w:szCs w:val="21"/>
          <w:highlight w:val="none"/>
          <w:lang w:val="en-US" w:eastAsia="zh-CN" w:bidi="ar-SA"/>
        </w:rPr>
        <w:fldChar w:fldCharType="separate"/>
      </w:r>
      <w:r>
        <w:rPr>
          <w:b/>
          <w:bCs/>
          <w:color w:val="000000"/>
          <w:kern w:val="44"/>
          <w:sz w:val="21"/>
          <w:szCs w:val="21"/>
          <w:highlight w:val="none"/>
          <w:lang w:val="en-US" w:eastAsia="zh-CN" w:bidi="ar-SA"/>
        </w:rPr>
        <w:t>二十个工作日</w:t>
      </w:r>
      <w:r>
        <w:rPr>
          <w:b/>
          <w:bCs/>
          <w:color w:val="000000"/>
          <w:kern w:val="44"/>
          <w:sz w:val="21"/>
          <w:szCs w:val="21"/>
          <w:highlight w:val="none"/>
          <w:lang w:val="en-US" w:eastAsia="zh-CN" w:bidi="ar-SA"/>
        </w:rPr>
        <w:fldChar w:fldCharType="end"/>
      </w:r>
      <w:r>
        <w:rPr>
          <w:b/>
          <w:kern w:val="0"/>
        </w:rPr>
        <w:t>进行披露。</w:t>
      </w:r>
    </w:p>
    <w:p>
      <w:pPr>
        <w:spacing w:line="360" w:lineRule="auto"/>
        <w:ind w:firstLine="422" w:firstLineChars="200"/>
        <w:rPr>
          <w:b/>
          <w:kern w:val="0"/>
        </w:rPr>
      </w:pPr>
      <w:r>
        <w:rPr>
          <w:b/>
          <w:kern w:val="44"/>
        </w:rPr>
        <w:t>（四）理财</w:t>
      </w:r>
      <w:r>
        <w:rPr>
          <w:b/>
          <w:kern w:val="0"/>
        </w:rPr>
        <w:t>产品清算</w:t>
      </w:r>
    </w:p>
    <w:p>
      <w:pPr>
        <w:spacing w:line="360" w:lineRule="auto"/>
        <w:ind w:firstLine="420"/>
        <w:rPr>
          <w:kern w:val="0"/>
          <w:szCs w:val="21"/>
        </w:rPr>
      </w:pPr>
      <w:r>
        <w:rPr>
          <w:kern w:val="0"/>
          <w:szCs w:val="21"/>
        </w:rPr>
        <w:t>如</w:t>
      </w:r>
      <w:r>
        <w:rPr>
          <w:rFonts w:hint="eastAsia"/>
          <w:kern w:val="0"/>
          <w:szCs w:val="21"/>
        </w:rPr>
        <w:t>本理财产品</w:t>
      </w:r>
      <w:r>
        <w:rPr>
          <w:kern w:val="0"/>
          <w:szCs w:val="21"/>
        </w:rPr>
        <w:t>终止的，应按如下规则进行清算和分配：</w:t>
      </w:r>
    </w:p>
    <w:p>
      <w:pPr>
        <w:spacing w:line="360" w:lineRule="auto"/>
        <w:ind w:firstLine="420"/>
        <w:rPr>
          <w:kern w:val="0"/>
          <w:szCs w:val="21"/>
        </w:rPr>
      </w:pPr>
      <w:r>
        <w:rPr>
          <w:kern w:val="0"/>
          <w:szCs w:val="21"/>
        </w:rPr>
        <w:t>（1）管理人将本理财产品的投资资产在终止日起</w:t>
      </w:r>
      <w:bookmarkStart w:id="50" w:name="Text30"/>
      <w:r>
        <w:rPr>
          <w:kern w:val="44"/>
          <w:szCs w:val="24"/>
        </w:rPr>
        <w:fldChar w:fldCharType="begin">
          <w:ffData>
            <w:name w:val="Text30"/>
            <w:enabled/>
            <w:calcOnExit w:val="0"/>
            <w:textInput>
              <w:default w:val="两个交易日"/>
            </w:textInput>
          </w:ffData>
        </w:fldChar>
      </w:r>
      <w:r>
        <w:rPr>
          <w:kern w:val="44"/>
          <w:szCs w:val="24"/>
        </w:rPr>
        <w:instrText xml:space="preserve">FORMTEXT</w:instrText>
      </w:r>
      <w:r>
        <w:rPr>
          <w:kern w:val="44"/>
          <w:szCs w:val="24"/>
        </w:rPr>
        <w:fldChar w:fldCharType="separate"/>
      </w:r>
      <w:r>
        <w:rPr>
          <w:kern w:val="44"/>
          <w:szCs w:val="24"/>
        </w:rPr>
        <w:t>两个交易日</w:t>
      </w:r>
      <w:r>
        <w:rPr>
          <w:kern w:val="44"/>
          <w:szCs w:val="24"/>
        </w:rPr>
        <w:fldChar w:fldCharType="end"/>
      </w:r>
      <w:bookmarkEnd w:id="50"/>
      <w:r>
        <w:rPr>
          <w:kern w:val="0"/>
          <w:szCs w:val="21"/>
        </w:rPr>
        <w:t>内进行变现和收益分配，如遇市场发生重大波动或其</w:t>
      </w:r>
      <w:r>
        <w:rPr>
          <w:rFonts w:hint="eastAsia"/>
          <w:kern w:val="0"/>
          <w:szCs w:val="21"/>
          <w:lang w:val="en-US" w:eastAsia="zh-CN"/>
        </w:rPr>
        <w:t>他</w:t>
      </w:r>
      <w:r>
        <w:rPr>
          <w:kern w:val="0"/>
          <w:szCs w:val="21"/>
        </w:rPr>
        <w:t>非因管理人的原因导致</w:t>
      </w:r>
      <w:r>
        <w:rPr>
          <w:rFonts w:hint="eastAsia"/>
          <w:kern w:val="0"/>
          <w:szCs w:val="21"/>
        </w:rPr>
        <w:t>本理财产品</w:t>
      </w:r>
      <w:r>
        <w:rPr>
          <w:kern w:val="0"/>
          <w:szCs w:val="21"/>
        </w:rPr>
        <w:t>的投资资产未能在前述期限内变现，管理人可延长变现和收益分配期限，但应进行公告。</w:t>
      </w:r>
    </w:p>
    <w:p>
      <w:pPr>
        <w:spacing w:line="360" w:lineRule="auto"/>
        <w:ind w:firstLine="420"/>
        <w:rPr>
          <w:kern w:val="0"/>
          <w:szCs w:val="21"/>
        </w:rPr>
      </w:pPr>
      <w:r>
        <w:rPr>
          <w:kern w:val="0"/>
          <w:szCs w:val="21"/>
        </w:rPr>
        <w:t>（2）管理人根据本合同</w:t>
      </w:r>
      <w:r>
        <w:rPr>
          <w:rFonts w:hint="eastAsia"/>
          <w:kern w:val="0"/>
          <w:szCs w:val="21"/>
        </w:rPr>
        <w:t>“九</w:t>
      </w:r>
      <w:r>
        <w:rPr>
          <w:color w:val="000000"/>
          <w:kern w:val="0"/>
          <w:szCs w:val="21"/>
        </w:rPr>
        <w:t>、理财产品的分配</w:t>
      </w:r>
      <w:r>
        <w:rPr>
          <w:rFonts w:hint="eastAsia"/>
          <w:kern w:val="0"/>
          <w:szCs w:val="21"/>
        </w:rPr>
        <w:t>”</w:t>
      </w:r>
      <w:r>
        <w:rPr>
          <w:kern w:val="0"/>
          <w:szCs w:val="21"/>
        </w:rPr>
        <w:t>进行清算并向投资者进行分配。</w:t>
      </w:r>
    </w:p>
    <w:p>
      <w:pPr>
        <w:spacing w:line="360" w:lineRule="auto"/>
        <w:ind w:firstLine="420"/>
        <w:rPr>
          <w:kern w:val="0"/>
          <w:szCs w:val="21"/>
        </w:rPr>
      </w:pPr>
      <w:r>
        <w:rPr>
          <w:kern w:val="0"/>
          <w:szCs w:val="21"/>
        </w:rPr>
        <w:t>（3）管理人将及时公布清算工作进展。</w:t>
      </w:r>
    </w:p>
    <w:p>
      <w:pPr>
        <w:spacing w:line="360" w:lineRule="auto"/>
        <w:ind w:firstLine="422" w:firstLineChars="200"/>
        <w:rPr>
          <w:b/>
          <w:bCs/>
          <w:szCs w:val="21"/>
        </w:rPr>
      </w:pPr>
    </w:p>
    <w:p>
      <w:pPr>
        <w:spacing w:line="360" w:lineRule="auto"/>
        <w:rPr>
          <w:b/>
          <w:bCs/>
          <w:szCs w:val="21"/>
        </w:rPr>
      </w:pPr>
      <w:r>
        <w:rPr>
          <w:rFonts w:hint="eastAsia"/>
          <w:b/>
          <w:bCs/>
          <w:szCs w:val="21"/>
        </w:rPr>
        <w:t>十一</w:t>
      </w:r>
      <w:r>
        <w:rPr>
          <w:b/>
          <w:bCs/>
          <w:szCs w:val="21"/>
        </w:rPr>
        <w:t>、信息披露</w:t>
      </w:r>
    </w:p>
    <w:p>
      <w:pPr>
        <w:autoSpaceDE w:val="0"/>
        <w:autoSpaceDN w:val="0"/>
        <w:adjustRightInd w:val="0"/>
        <w:spacing w:line="360" w:lineRule="auto"/>
        <w:ind w:firstLine="422" w:firstLineChars="200"/>
        <w:rPr>
          <w:b/>
          <w:bCs/>
          <w:color w:val="000000"/>
          <w:kern w:val="44"/>
          <w:szCs w:val="21"/>
        </w:rPr>
      </w:pPr>
      <w:r>
        <w:rPr>
          <w:b/>
          <w:bCs/>
          <w:color w:val="000000"/>
          <w:kern w:val="44"/>
          <w:szCs w:val="21"/>
        </w:rPr>
        <w:t>（一）</w:t>
      </w:r>
      <w:r>
        <w:rPr>
          <w:b/>
          <w:bCs/>
        </w:rPr>
        <w:t>本理财产品信息披露的方式、渠道和频率等详见《投资者权益须知》。</w:t>
      </w:r>
    </w:p>
    <w:p>
      <w:pPr>
        <w:autoSpaceDE w:val="0"/>
        <w:autoSpaceDN w:val="0"/>
        <w:adjustRightInd w:val="0"/>
        <w:spacing w:line="360" w:lineRule="auto"/>
        <w:ind w:firstLine="422" w:firstLineChars="200"/>
        <w:rPr>
          <w:b/>
          <w:bCs/>
          <w:color w:val="000000"/>
          <w:kern w:val="44"/>
          <w:szCs w:val="21"/>
        </w:rPr>
      </w:pPr>
      <w:r>
        <w:rPr>
          <w:b/>
          <w:bCs/>
          <w:color w:val="000000"/>
          <w:kern w:val="44"/>
          <w:szCs w:val="21"/>
        </w:rPr>
        <w:t>（二）投资者同意，管理人通过上述方式及渠道进行信息披露，如果投资者未及时查询或由于不可抗力或意外事件的影响使得投资者无法及时了解理财产品信息，进而影响投资者的投资决策，由此产生的责任和风险由投资者自行承担。投资者预留在管理人</w:t>
      </w:r>
      <w:r>
        <w:rPr>
          <w:rFonts w:hint="eastAsia"/>
          <w:b/>
          <w:bCs/>
          <w:color w:val="000000"/>
          <w:kern w:val="44"/>
          <w:szCs w:val="21"/>
        </w:rPr>
        <w:t>或代理销售机构</w:t>
      </w:r>
      <w:r>
        <w:rPr>
          <w:b/>
          <w:bCs/>
          <w:color w:val="000000"/>
          <w:kern w:val="44"/>
          <w:szCs w:val="21"/>
        </w:rPr>
        <w:t>处的有效联系方式变更的，应及时通知管理人</w:t>
      </w:r>
      <w:r>
        <w:rPr>
          <w:rFonts w:hint="eastAsia"/>
          <w:b/>
          <w:bCs/>
          <w:color w:val="000000"/>
          <w:kern w:val="44"/>
          <w:szCs w:val="21"/>
        </w:rPr>
        <w:t>或代理销售机构</w:t>
      </w:r>
      <w:r>
        <w:rPr>
          <w:b/>
          <w:bCs/>
          <w:color w:val="000000"/>
          <w:kern w:val="44"/>
          <w:szCs w:val="21"/>
        </w:rPr>
        <w:t>。如投资者未及时告知管理人</w:t>
      </w:r>
      <w:r>
        <w:rPr>
          <w:rFonts w:hint="eastAsia"/>
          <w:b/>
          <w:bCs/>
          <w:color w:val="000000"/>
          <w:kern w:val="44"/>
          <w:szCs w:val="21"/>
        </w:rPr>
        <w:t>或代理销售机构</w:t>
      </w:r>
      <w:r>
        <w:rPr>
          <w:b/>
          <w:bCs/>
          <w:color w:val="000000"/>
          <w:kern w:val="44"/>
          <w:szCs w:val="21"/>
        </w:rPr>
        <w:t>联系方式变更或因其他原因导致管理人</w:t>
      </w:r>
      <w:r>
        <w:rPr>
          <w:rFonts w:hint="eastAsia"/>
          <w:b/>
          <w:bCs/>
          <w:color w:val="000000"/>
          <w:kern w:val="44"/>
          <w:szCs w:val="21"/>
        </w:rPr>
        <w:t>或代理销售机构</w:t>
      </w:r>
      <w:r>
        <w:rPr>
          <w:b/>
          <w:bCs/>
          <w:color w:val="000000"/>
          <w:kern w:val="44"/>
          <w:szCs w:val="21"/>
        </w:rPr>
        <w:t>在需要联系投资者时无法及时联系上，可能会由此影响投资者的投资决策，因此产生的责任和风险由投资者自行承担。</w:t>
      </w:r>
    </w:p>
    <w:p>
      <w:pPr>
        <w:autoSpaceDE w:val="0"/>
        <w:autoSpaceDN w:val="0"/>
        <w:adjustRightInd w:val="0"/>
        <w:spacing w:line="360" w:lineRule="auto"/>
        <w:ind w:firstLine="420" w:firstLineChars="200"/>
        <w:rPr>
          <w:color w:val="000000"/>
          <w:kern w:val="44"/>
          <w:szCs w:val="21"/>
        </w:rPr>
      </w:pPr>
    </w:p>
    <w:p>
      <w:pPr>
        <w:autoSpaceDE w:val="0"/>
        <w:autoSpaceDN w:val="0"/>
        <w:adjustRightInd w:val="0"/>
        <w:spacing w:line="360" w:lineRule="auto"/>
        <w:ind w:firstLine="420" w:firstLineChars="200"/>
        <w:rPr>
          <w:color w:val="000000"/>
          <w:kern w:val="44"/>
          <w:szCs w:val="21"/>
        </w:rPr>
      </w:pPr>
    </w:p>
    <w:p>
      <w:pPr>
        <w:autoSpaceDE w:val="0"/>
        <w:autoSpaceDN w:val="0"/>
        <w:adjustRightInd w:val="0"/>
        <w:spacing w:line="360" w:lineRule="auto"/>
        <w:rPr>
          <w:rFonts w:hint="eastAsia"/>
          <w:color w:val="000000"/>
          <w:kern w:val="44"/>
          <w:szCs w:val="21"/>
        </w:rPr>
      </w:pPr>
    </w:p>
    <w:p>
      <w:pPr>
        <w:pStyle w:val="2"/>
      </w:pPr>
      <w:bookmarkStart w:id="51" w:name="_GoBack"/>
      <w:bookmarkEnd w:id="51"/>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7078"/>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46</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46</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autoSpaceDE w:val="0"/>
      <w:autoSpaceDN w:val="0"/>
      <w:adjustRightInd w:val="0"/>
      <w:spacing w:line="276" w:lineRule="auto"/>
      <w:rPr>
        <w:rFonts w:hint="eastAsia" w:ascii="黑体" w:hAnsi="黑体" w:eastAsia="黑体" w:cs="黑体"/>
        <w:b/>
        <w:iCs/>
        <w:sz w:val="28"/>
        <w:szCs w:val="28"/>
      </w:rPr>
    </w:pPr>
    <w:r>
      <w:rPr>
        <w:rFonts w:hint="eastAsia" w:ascii="黑体" w:hAnsi="黑体" w:eastAsia="黑体" w:cs="黑体"/>
        <w:b/>
        <w:iCs/>
        <w:color w:val="000000"/>
        <w:kern w:val="0"/>
        <w:sz w:val="28"/>
        <w:szCs w:val="28"/>
      </w:rPr>
      <w:t xml:space="preserve">理财非存款、产品有风险、投资须谨慎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EB600D"/>
    <w:multiLevelType w:val="multilevel"/>
    <w:tmpl w:val="46EB600D"/>
    <w:lvl w:ilvl="0" w:tentative="0">
      <w:start w:val="1"/>
      <w:numFmt w:val="decimal"/>
      <w:pStyle w:val="3"/>
      <w:lvlText w:val="%1."/>
      <w:lvlJc w:val="left"/>
      <w:pPr>
        <w:ind w:left="360" w:hanging="360"/>
      </w:pPr>
      <w:rPr>
        <w:rFonts w:hint="eastAsia"/>
        <w:b/>
      </w:rPr>
    </w:lvl>
    <w:lvl w:ilvl="1" w:tentative="0">
      <w:start w:val="3"/>
      <w:numFmt w:val="decimal"/>
      <w:lvlText w:val="%1.%2"/>
      <w:lvlJc w:val="left"/>
      <w:pPr>
        <w:ind w:left="650" w:hanging="444"/>
      </w:pPr>
      <w:rPr>
        <w:rFonts w:hint="eastAsia"/>
      </w:rPr>
    </w:lvl>
    <w:lvl w:ilvl="2" w:tentative="0">
      <w:start w:val="1"/>
      <w:numFmt w:val="decimal"/>
      <w:lvlText w:val="%1.%2.%3"/>
      <w:lvlJc w:val="left"/>
      <w:pPr>
        <w:ind w:left="1132" w:hanging="720"/>
      </w:pPr>
      <w:rPr>
        <w:rFonts w:hint="eastAsia"/>
        <w:b/>
        <w:bCs/>
      </w:rPr>
    </w:lvl>
    <w:lvl w:ilvl="3" w:tentative="0">
      <w:start w:val="1"/>
      <w:numFmt w:val="decimal"/>
      <w:lvlText w:val="%1.%2.%3.%4"/>
      <w:lvlJc w:val="left"/>
      <w:pPr>
        <w:ind w:left="1698" w:hanging="1080"/>
      </w:pPr>
      <w:rPr>
        <w:rFonts w:hint="eastAsia"/>
      </w:rPr>
    </w:lvl>
    <w:lvl w:ilvl="4" w:tentative="0">
      <w:start w:val="1"/>
      <w:numFmt w:val="decimal"/>
      <w:lvlText w:val="%1.%2.%3.%4.%5"/>
      <w:lvlJc w:val="left"/>
      <w:pPr>
        <w:ind w:left="1904" w:hanging="1080"/>
      </w:pPr>
      <w:rPr>
        <w:rFonts w:hint="eastAsia"/>
      </w:rPr>
    </w:lvl>
    <w:lvl w:ilvl="5" w:tentative="0">
      <w:start w:val="1"/>
      <w:numFmt w:val="decimal"/>
      <w:lvlText w:val="%1.%2.%3.%4.%5.%6"/>
      <w:lvlJc w:val="left"/>
      <w:pPr>
        <w:ind w:left="2470" w:hanging="1440"/>
      </w:pPr>
      <w:rPr>
        <w:rFonts w:hint="eastAsia"/>
      </w:rPr>
    </w:lvl>
    <w:lvl w:ilvl="6" w:tentative="0">
      <w:start w:val="1"/>
      <w:numFmt w:val="decimal"/>
      <w:lvlText w:val="%1.%2.%3.%4.%5.%6.%7"/>
      <w:lvlJc w:val="left"/>
      <w:pPr>
        <w:ind w:left="3036" w:hanging="1798"/>
      </w:pPr>
      <w:rPr>
        <w:rFonts w:hint="eastAsia"/>
      </w:rPr>
    </w:lvl>
    <w:lvl w:ilvl="7" w:tentative="0">
      <w:start w:val="1"/>
      <w:numFmt w:val="decimal"/>
      <w:lvlText w:val="%1.%2.%3.%4.%5.%6.%7.%8"/>
      <w:lvlJc w:val="left"/>
      <w:pPr>
        <w:ind w:left="3242" w:hanging="1800"/>
      </w:pPr>
      <w:rPr>
        <w:rFonts w:hint="eastAsia"/>
      </w:rPr>
    </w:lvl>
    <w:lvl w:ilvl="8" w:tentative="0">
      <w:start w:val="1"/>
      <w:numFmt w:val="decimal"/>
      <w:lvlText w:val="%1.%2.%3.%4.%5.%6.%7.%8.%9"/>
      <w:lvlJc w:val="left"/>
      <w:pPr>
        <w:ind w:left="3808" w:hanging="21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255"/>
    <w:rsid w:val="00071403"/>
    <w:rsid w:val="000A795C"/>
    <w:rsid w:val="000C6E5B"/>
    <w:rsid w:val="00105783"/>
    <w:rsid w:val="0010679C"/>
    <w:rsid w:val="001161BE"/>
    <w:rsid w:val="00171C05"/>
    <w:rsid w:val="00174269"/>
    <w:rsid w:val="001842C0"/>
    <w:rsid w:val="00192D96"/>
    <w:rsid w:val="001B4623"/>
    <w:rsid w:val="001C51BD"/>
    <w:rsid w:val="001C5A5B"/>
    <w:rsid w:val="001D70F5"/>
    <w:rsid w:val="001D7686"/>
    <w:rsid w:val="001E52EF"/>
    <w:rsid w:val="00212545"/>
    <w:rsid w:val="00225197"/>
    <w:rsid w:val="00236932"/>
    <w:rsid w:val="002439DA"/>
    <w:rsid w:val="002446EF"/>
    <w:rsid w:val="0026729A"/>
    <w:rsid w:val="00270D2D"/>
    <w:rsid w:val="00287A9D"/>
    <w:rsid w:val="0029647E"/>
    <w:rsid w:val="002A7D81"/>
    <w:rsid w:val="002C0D35"/>
    <w:rsid w:val="003012D4"/>
    <w:rsid w:val="00330D62"/>
    <w:rsid w:val="00360DE5"/>
    <w:rsid w:val="00387684"/>
    <w:rsid w:val="003B4FFD"/>
    <w:rsid w:val="003E1F01"/>
    <w:rsid w:val="004060EE"/>
    <w:rsid w:val="004179F4"/>
    <w:rsid w:val="00423120"/>
    <w:rsid w:val="00472420"/>
    <w:rsid w:val="004766C2"/>
    <w:rsid w:val="00485267"/>
    <w:rsid w:val="00486D86"/>
    <w:rsid w:val="00493A5B"/>
    <w:rsid w:val="004E6380"/>
    <w:rsid w:val="00516DC1"/>
    <w:rsid w:val="00534512"/>
    <w:rsid w:val="00553F2B"/>
    <w:rsid w:val="005B377F"/>
    <w:rsid w:val="005C005E"/>
    <w:rsid w:val="005E0EEF"/>
    <w:rsid w:val="005E5839"/>
    <w:rsid w:val="00606880"/>
    <w:rsid w:val="00620452"/>
    <w:rsid w:val="00632AA1"/>
    <w:rsid w:val="00656285"/>
    <w:rsid w:val="006635AD"/>
    <w:rsid w:val="00665866"/>
    <w:rsid w:val="00676313"/>
    <w:rsid w:val="006A48D6"/>
    <w:rsid w:val="006F6116"/>
    <w:rsid w:val="007143E0"/>
    <w:rsid w:val="007351D2"/>
    <w:rsid w:val="00754FE7"/>
    <w:rsid w:val="00756DD8"/>
    <w:rsid w:val="007667AD"/>
    <w:rsid w:val="00786CE0"/>
    <w:rsid w:val="00816D6B"/>
    <w:rsid w:val="00851BA6"/>
    <w:rsid w:val="00891225"/>
    <w:rsid w:val="008E0DEC"/>
    <w:rsid w:val="00913805"/>
    <w:rsid w:val="00983379"/>
    <w:rsid w:val="009B098E"/>
    <w:rsid w:val="009C32A1"/>
    <w:rsid w:val="009C6B2E"/>
    <w:rsid w:val="009D55CB"/>
    <w:rsid w:val="009E01F8"/>
    <w:rsid w:val="00A22F0B"/>
    <w:rsid w:val="00A46ABA"/>
    <w:rsid w:val="00A62B45"/>
    <w:rsid w:val="00A73576"/>
    <w:rsid w:val="00A87C0B"/>
    <w:rsid w:val="00AD52D1"/>
    <w:rsid w:val="00AF0611"/>
    <w:rsid w:val="00B21112"/>
    <w:rsid w:val="00B475D8"/>
    <w:rsid w:val="00B57958"/>
    <w:rsid w:val="00BA595F"/>
    <w:rsid w:val="00BC6B61"/>
    <w:rsid w:val="00C22DCC"/>
    <w:rsid w:val="00C426BB"/>
    <w:rsid w:val="00C53AA7"/>
    <w:rsid w:val="00C91FCE"/>
    <w:rsid w:val="00CA7244"/>
    <w:rsid w:val="00CB14C4"/>
    <w:rsid w:val="00CB66F1"/>
    <w:rsid w:val="00CC2CA3"/>
    <w:rsid w:val="00CD5E07"/>
    <w:rsid w:val="00CD6A24"/>
    <w:rsid w:val="00CF4005"/>
    <w:rsid w:val="00D06B6B"/>
    <w:rsid w:val="00D2106D"/>
    <w:rsid w:val="00D42192"/>
    <w:rsid w:val="00D96461"/>
    <w:rsid w:val="00DE3339"/>
    <w:rsid w:val="00E107B7"/>
    <w:rsid w:val="00E276D6"/>
    <w:rsid w:val="00E41211"/>
    <w:rsid w:val="00E41E1A"/>
    <w:rsid w:val="00E5254A"/>
    <w:rsid w:val="00E859EA"/>
    <w:rsid w:val="00E865D3"/>
    <w:rsid w:val="00EA7ADB"/>
    <w:rsid w:val="00EC66F8"/>
    <w:rsid w:val="00F35C41"/>
    <w:rsid w:val="00F427B2"/>
    <w:rsid w:val="00F458F1"/>
    <w:rsid w:val="00FC027A"/>
    <w:rsid w:val="00FC0F34"/>
    <w:rsid w:val="00FC25F5"/>
    <w:rsid w:val="024E0B41"/>
    <w:rsid w:val="034F4C34"/>
    <w:rsid w:val="036F3C68"/>
    <w:rsid w:val="0461748C"/>
    <w:rsid w:val="047651C1"/>
    <w:rsid w:val="05422DFC"/>
    <w:rsid w:val="066E564F"/>
    <w:rsid w:val="07CA3341"/>
    <w:rsid w:val="08F2486C"/>
    <w:rsid w:val="08F81759"/>
    <w:rsid w:val="09927427"/>
    <w:rsid w:val="099346C1"/>
    <w:rsid w:val="0B8A2FD3"/>
    <w:rsid w:val="0B8C31D4"/>
    <w:rsid w:val="0BF618C3"/>
    <w:rsid w:val="0C506FAC"/>
    <w:rsid w:val="0C7646FC"/>
    <w:rsid w:val="0D5B6721"/>
    <w:rsid w:val="0D7DDB8F"/>
    <w:rsid w:val="0E6C610C"/>
    <w:rsid w:val="0EB636CE"/>
    <w:rsid w:val="0F656151"/>
    <w:rsid w:val="10FD2F18"/>
    <w:rsid w:val="11633F66"/>
    <w:rsid w:val="11E80A7B"/>
    <w:rsid w:val="124D49FA"/>
    <w:rsid w:val="1263794D"/>
    <w:rsid w:val="1287222C"/>
    <w:rsid w:val="130676CF"/>
    <w:rsid w:val="1346055C"/>
    <w:rsid w:val="1420493B"/>
    <w:rsid w:val="14343500"/>
    <w:rsid w:val="14852BB2"/>
    <w:rsid w:val="14DD6B17"/>
    <w:rsid w:val="156B053F"/>
    <w:rsid w:val="15CF272C"/>
    <w:rsid w:val="15DD395B"/>
    <w:rsid w:val="161203E6"/>
    <w:rsid w:val="17FE48A3"/>
    <w:rsid w:val="18307876"/>
    <w:rsid w:val="18E830E4"/>
    <w:rsid w:val="19DA6FC4"/>
    <w:rsid w:val="1B302AF0"/>
    <w:rsid w:val="1B440AA2"/>
    <w:rsid w:val="1B7802A0"/>
    <w:rsid w:val="1B9B7FA2"/>
    <w:rsid w:val="1BBB7A8F"/>
    <w:rsid w:val="1D9B45B8"/>
    <w:rsid w:val="1E020EB9"/>
    <w:rsid w:val="1E7F13F4"/>
    <w:rsid w:val="1EE158C8"/>
    <w:rsid w:val="1EE80A22"/>
    <w:rsid w:val="1EF4295F"/>
    <w:rsid w:val="1FB6136B"/>
    <w:rsid w:val="1FB66715"/>
    <w:rsid w:val="20006BE5"/>
    <w:rsid w:val="20315814"/>
    <w:rsid w:val="214966D5"/>
    <w:rsid w:val="22646C8E"/>
    <w:rsid w:val="245A665D"/>
    <w:rsid w:val="25A41BCE"/>
    <w:rsid w:val="261D74CF"/>
    <w:rsid w:val="268075A9"/>
    <w:rsid w:val="26BD763C"/>
    <w:rsid w:val="26ED1B68"/>
    <w:rsid w:val="27C414D8"/>
    <w:rsid w:val="27F7F21A"/>
    <w:rsid w:val="29357A89"/>
    <w:rsid w:val="2B01017B"/>
    <w:rsid w:val="2E4E0CE7"/>
    <w:rsid w:val="2EDC1CF2"/>
    <w:rsid w:val="2EFEF0D5"/>
    <w:rsid w:val="2F580EE7"/>
    <w:rsid w:val="2FE94A08"/>
    <w:rsid w:val="30EC60AE"/>
    <w:rsid w:val="312339FD"/>
    <w:rsid w:val="31311C77"/>
    <w:rsid w:val="32ED4CAC"/>
    <w:rsid w:val="335DD08B"/>
    <w:rsid w:val="33D74476"/>
    <w:rsid w:val="33F914B2"/>
    <w:rsid w:val="34164CE7"/>
    <w:rsid w:val="343354C8"/>
    <w:rsid w:val="3552054D"/>
    <w:rsid w:val="3583409C"/>
    <w:rsid w:val="35E240BB"/>
    <w:rsid w:val="35ED3E99"/>
    <w:rsid w:val="373D533E"/>
    <w:rsid w:val="37DFC97C"/>
    <w:rsid w:val="3836078F"/>
    <w:rsid w:val="386A0C0E"/>
    <w:rsid w:val="3A295D78"/>
    <w:rsid w:val="3A433A44"/>
    <w:rsid w:val="3AB5080F"/>
    <w:rsid w:val="3BA20378"/>
    <w:rsid w:val="3BBEA2BE"/>
    <w:rsid w:val="3BCA37C5"/>
    <w:rsid w:val="3BCFA794"/>
    <w:rsid w:val="3DAB1B37"/>
    <w:rsid w:val="3EB81A02"/>
    <w:rsid w:val="3F447CAB"/>
    <w:rsid w:val="3F7B0804"/>
    <w:rsid w:val="3FBB9BC3"/>
    <w:rsid w:val="3FC424FE"/>
    <w:rsid w:val="40060C0A"/>
    <w:rsid w:val="408A5093"/>
    <w:rsid w:val="416E3087"/>
    <w:rsid w:val="41767DC5"/>
    <w:rsid w:val="423816C1"/>
    <w:rsid w:val="426F531D"/>
    <w:rsid w:val="429A5A29"/>
    <w:rsid w:val="432132D4"/>
    <w:rsid w:val="434E6062"/>
    <w:rsid w:val="43AD4380"/>
    <w:rsid w:val="443051C4"/>
    <w:rsid w:val="447659E0"/>
    <w:rsid w:val="44B951D0"/>
    <w:rsid w:val="45324879"/>
    <w:rsid w:val="45CA500D"/>
    <w:rsid w:val="45E42797"/>
    <w:rsid w:val="464A6528"/>
    <w:rsid w:val="476511B9"/>
    <w:rsid w:val="47B16CDB"/>
    <w:rsid w:val="47E351A2"/>
    <w:rsid w:val="47F80749"/>
    <w:rsid w:val="47FF469B"/>
    <w:rsid w:val="48CD3D6B"/>
    <w:rsid w:val="498B7ADF"/>
    <w:rsid w:val="498E577C"/>
    <w:rsid w:val="49A27D58"/>
    <w:rsid w:val="4AAC53FB"/>
    <w:rsid w:val="4AB50890"/>
    <w:rsid w:val="4B165C1E"/>
    <w:rsid w:val="4BD7107A"/>
    <w:rsid w:val="4CBE1552"/>
    <w:rsid w:val="4D3B4EC4"/>
    <w:rsid w:val="4D655D09"/>
    <w:rsid w:val="4DF036EE"/>
    <w:rsid w:val="4FB56D8B"/>
    <w:rsid w:val="50416B00"/>
    <w:rsid w:val="51E90312"/>
    <w:rsid w:val="51ED01DA"/>
    <w:rsid w:val="528A1E62"/>
    <w:rsid w:val="53A10A76"/>
    <w:rsid w:val="54546513"/>
    <w:rsid w:val="547F65E1"/>
    <w:rsid w:val="55491F4F"/>
    <w:rsid w:val="56C854F3"/>
    <w:rsid w:val="573112DB"/>
    <w:rsid w:val="57EB51C7"/>
    <w:rsid w:val="57EC045E"/>
    <w:rsid w:val="58455244"/>
    <w:rsid w:val="595B06A1"/>
    <w:rsid w:val="5A340BD8"/>
    <w:rsid w:val="5AC45B8C"/>
    <w:rsid w:val="5AEE6C41"/>
    <w:rsid w:val="5B3B3931"/>
    <w:rsid w:val="5B8C4299"/>
    <w:rsid w:val="5C556522"/>
    <w:rsid w:val="5CFE6312"/>
    <w:rsid w:val="5D5809A5"/>
    <w:rsid w:val="5EA76F2A"/>
    <w:rsid w:val="5EEA609A"/>
    <w:rsid w:val="61BF38F1"/>
    <w:rsid w:val="61C06C30"/>
    <w:rsid w:val="630F4CA3"/>
    <w:rsid w:val="635C53DE"/>
    <w:rsid w:val="63E53166"/>
    <w:rsid w:val="64720777"/>
    <w:rsid w:val="64A30997"/>
    <w:rsid w:val="65FDE23B"/>
    <w:rsid w:val="661309ED"/>
    <w:rsid w:val="669900A5"/>
    <w:rsid w:val="66D718D1"/>
    <w:rsid w:val="67DC2BB3"/>
    <w:rsid w:val="680B7F45"/>
    <w:rsid w:val="69AD425C"/>
    <w:rsid w:val="6C77D9E8"/>
    <w:rsid w:val="6C852AB9"/>
    <w:rsid w:val="6D443964"/>
    <w:rsid w:val="6D7C36BA"/>
    <w:rsid w:val="6E7A37DD"/>
    <w:rsid w:val="6F846AD7"/>
    <w:rsid w:val="701E03B0"/>
    <w:rsid w:val="712829A5"/>
    <w:rsid w:val="72B71782"/>
    <w:rsid w:val="72D66B14"/>
    <w:rsid w:val="733F1EE9"/>
    <w:rsid w:val="735A5A1C"/>
    <w:rsid w:val="73990578"/>
    <w:rsid w:val="73F746E7"/>
    <w:rsid w:val="74A71ED3"/>
    <w:rsid w:val="74AA2A05"/>
    <w:rsid w:val="74BD60BC"/>
    <w:rsid w:val="765505C0"/>
    <w:rsid w:val="77622411"/>
    <w:rsid w:val="77DE99A2"/>
    <w:rsid w:val="77FF79B4"/>
    <w:rsid w:val="787F5431"/>
    <w:rsid w:val="789C20D9"/>
    <w:rsid w:val="7A2F55A2"/>
    <w:rsid w:val="7A3C5534"/>
    <w:rsid w:val="7AF83242"/>
    <w:rsid w:val="7BC40A5F"/>
    <w:rsid w:val="7BFD3C71"/>
    <w:rsid w:val="7CCD1213"/>
    <w:rsid w:val="7D0B25B3"/>
    <w:rsid w:val="7DDD38BE"/>
    <w:rsid w:val="7DEA41A0"/>
    <w:rsid w:val="7DF87FFF"/>
    <w:rsid w:val="7E214027"/>
    <w:rsid w:val="7E5E5F47"/>
    <w:rsid w:val="7E772AD8"/>
    <w:rsid w:val="7ECDAD9D"/>
    <w:rsid w:val="7F540060"/>
    <w:rsid w:val="7F7F1F9A"/>
    <w:rsid w:val="7FDB1106"/>
    <w:rsid w:val="9BFFFAFB"/>
    <w:rsid w:val="9F9EF9CC"/>
    <w:rsid w:val="ABBF03AD"/>
    <w:rsid w:val="ABFFBEDC"/>
    <w:rsid w:val="BDFD73F4"/>
    <w:rsid w:val="BFCF937B"/>
    <w:rsid w:val="BFDD2DB4"/>
    <w:rsid w:val="BFF337B2"/>
    <w:rsid w:val="C39BC071"/>
    <w:rsid w:val="CFEECC09"/>
    <w:rsid w:val="D7DA2155"/>
    <w:rsid w:val="DFF067A0"/>
    <w:rsid w:val="EBBE5E59"/>
    <w:rsid w:val="EFF77345"/>
    <w:rsid w:val="EFFEEE59"/>
    <w:rsid w:val="F3B7CEB5"/>
    <w:rsid w:val="F3FF5AC6"/>
    <w:rsid w:val="F5FF52EB"/>
    <w:rsid w:val="F7EB98DB"/>
    <w:rsid w:val="F87A7E16"/>
    <w:rsid w:val="FAFFEFC4"/>
    <w:rsid w:val="FBB73ACC"/>
    <w:rsid w:val="FBF4C8CB"/>
    <w:rsid w:val="FDFE9C6A"/>
    <w:rsid w:val="FEBE29EC"/>
    <w:rsid w:val="FFDAE421"/>
    <w:rsid w:val="FFFD323F"/>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numPr>
        <w:ilvl w:val="0"/>
        <w:numId w:val="1"/>
      </w:numPr>
      <w:spacing w:before="360" w:after="240" w:line="360" w:lineRule="auto"/>
      <w:outlineLvl w:val="0"/>
    </w:pPr>
    <w:rPr>
      <w:rFonts w:ascii="Times New Roman" w:hAnsi="Times New Roman" w:cs="Times New Roman"/>
      <w:b/>
    </w:rPr>
  </w:style>
  <w:style w:type="paragraph" w:styleId="4">
    <w:name w:val="heading 2"/>
    <w:basedOn w:val="1"/>
    <w:next w:val="1"/>
    <w:qFormat/>
    <w:uiPriority w:val="9"/>
    <w:pPr>
      <w:keepNext/>
      <w:keepLines/>
      <w:jc w:val="center"/>
      <w:outlineLvl w:val="1"/>
    </w:pPr>
    <w:rPr>
      <w:rFonts w:ascii="Times New Roman" w:hAnsi="Times New Roman" w:cs="Times New Roman"/>
      <w:b/>
      <w:bCs/>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5">
    <w:name w:val="annotation text"/>
    <w:basedOn w:val="1"/>
    <w:qFormat/>
    <w:uiPriority w:val="0"/>
    <w:pPr>
      <w:jc w:val="left"/>
    </w:pPr>
  </w:style>
  <w:style w:type="paragraph" w:styleId="6">
    <w:name w:val="Body Text"/>
    <w:basedOn w:val="1"/>
    <w:qFormat/>
    <w:uiPriority w:val="0"/>
    <w:pPr>
      <w:spacing w:after="120"/>
    </w:pPr>
    <w:rPr>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1">
    <w:name w:val="annotation reference"/>
    <w:qFormat/>
    <w:uiPriority w:val="0"/>
    <w:rPr>
      <w:sz w:val="21"/>
    </w:rPr>
  </w:style>
  <w:style w:type="character" w:customStyle="1" w:styleId="12">
    <w:name w:val="页眉 字符"/>
    <w:link w:val="8"/>
    <w:qFormat/>
    <w:uiPriority w:val="0"/>
    <w:rPr>
      <w:rFonts w:ascii="Times New Roman" w:hAnsi="Times New Roman"/>
      <w:kern w:val="2"/>
      <w:sz w:val="18"/>
      <w:szCs w:val="18"/>
    </w:rPr>
  </w:style>
  <w:style w:type="paragraph" w:customStyle="1" w:styleId="13">
    <w:name w:val="List Paragraph"/>
    <w:basedOn w:val="1"/>
    <w:qFormat/>
    <w:uiPriority w:val="99"/>
    <w:pPr>
      <w:ind w:firstLine="420" w:firstLineChars="200"/>
    </w:pPr>
  </w:style>
  <w:style w:type="paragraph" w:customStyle="1" w:styleId="14">
    <w:name w:val="_Style 13"/>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5399</Words>
  <Characters>30776</Characters>
  <Lines>256</Lines>
  <Paragraphs>72</Paragraphs>
  <TotalTime>43</TotalTime>
  <ScaleCrop>false</ScaleCrop>
  <LinksUpToDate>false</LinksUpToDate>
  <CharactersWithSpaces>36103</CharactersWithSpaces>
  <Application>WPS Office_12.8.0.17017_F1E327BC-269C-435d-A152-05C5408002CA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2022-08-05T07:45:00Z</dcterms:created>
  <dc:creator>林文艳</dc:creator>
  <cp:lastModifiedBy>李梦骁</cp:lastModifiedBy>
  <dcterms:modified xsi:type="dcterms:W3CDTF">2025-10-31T06:17:20Z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2052-12.8.0.17017</vt:lpwstr>
  </property>
  <property fmtid="{D5CDD505-2E9C-101B-9397-08002B2CF9AE}" pid="3" name="_KSOProductBuildMID">
    <vt:lpwstr>CVWM06BW7R9A0TTGRPRNKL0C7NM0OYVREJ06BJD7XFB8TFLTN0BJYCJGFSTTPCRRXUMX9OLKZIWD8HNJRJFTQFFW89EMWHLBAEOOMHB309187CAF8CC256ACAA047884E42284DE</vt:lpwstr>
  </property>
  <property fmtid="{D5CDD505-2E9C-101B-9397-08002B2CF9AE}" pid="4" name="_KSOProductBuildSID">
    <vt:lpwstr>21B032B788D589DD1096ACEF8B201DB3</vt:lpwstr>
  </property>
  <property fmtid="{D5CDD505-2E9C-101B-9397-08002B2CF9AE}" pid="5" name="ICV">
    <vt:lpwstr>3954532022350C3CBF524968C9DD3F4C_43</vt:lpwstr>
  </property>
</Properties>
</file>