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422" w:firstLineChars="200"/>
        <w:rPr>
          <w:b/>
          <w:color w:val="000000"/>
          <w:kern w:val="0"/>
        </w:rPr>
      </w:pPr>
    </w:p>
    <w:p>
      <w:pPr>
        <w:spacing w:line="360" w:lineRule="auto"/>
        <w:jc w:val="center"/>
        <w:rPr>
          <w:rFonts w:eastAsia="黑体"/>
          <w:b/>
          <w:bCs/>
          <w:kern w:val="44"/>
          <w:sz w:val="32"/>
          <w:szCs w:val="32"/>
        </w:rPr>
      </w:pPr>
      <w:r>
        <w:rPr>
          <w:rFonts w:hint="eastAsia" w:ascii="Times New Roman" w:hAnsi="Times New Roman" w:eastAsia="黑体"/>
          <w:b/>
          <w:bCs/>
          <w:kern w:val="44"/>
          <w:sz w:val="32"/>
          <w:szCs w:val="32"/>
          <w:lang w:val="en-US" w:eastAsia="zh-CN" w:bidi="ar-SA"/>
        </w:rPr>
        <w:fldChar w:fldCharType="begin">
          <w:ffData>
            <w:name w:val="Text7"/>
            <w:enabled/>
            <w:calcOnExit w:val="0"/>
            <w:textInput>
              <w:default w:val="民生理财富竹固收优选14个月封闭46号"/>
            </w:textInput>
          </w:ffData>
        </w:fldChar>
      </w:r>
      <w:r>
        <w:rPr>
          <w:rFonts w:hint="eastAsia" w:ascii="Times New Roman" w:hAnsi="Times New Roman" w:eastAsia="黑体"/>
          <w:b/>
          <w:bCs/>
          <w:kern w:val="44"/>
          <w:sz w:val="32"/>
          <w:szCs w:val="32"/>
          <w:lang w:val="en-US" w:eastAsia="zh-CN" w:bidi="ar-SA"/>
        </w:rPr>
        <w:instrText xml:space="preserve">FORMTEXT</w:instrText>
      </w:r>
      <w:r>
        <w:rPr>
          <w:rFonts w:hint="eastAsia" w:ascii="Times New Roman" w:hAnsi="Times New Roman" w:eastAsia="黑体"/>
          <w:b/>
          <w:bCs/>
          <w:kern w:val="44"/>
          <w:sz w:val="32"/>
          <w:szCs w:val="32"/>
          <w:lang w:val="en-US" w:eastAsia="zh-CN" w:bidi="ar-SA"/>
        </w:rPr>
        <w:fldChar w:fldCharType="separate"/>
      </w:r>
      <w:r>
        <w:rPr>
          <w:rFonts w:hint="eastAsia" w:eastAsia="黑体"/>
          <w:b/>
          <w:bCs/>
          <w:kern w:val="44"/>
          <w:sz w:val="32"/>
          <w:szCs w:val="32"/>
          <w:lang w:val="en-US" w:eastAsia="zh-CN" w:bidi="ar-SA"/>
        </w:rPr>
        <w:t>民生理财富竹固收优选封闭114号</w:t>
      </w:r>
      <w:r>
        <w:rPr>
          <w:rFonts w:hint="eastAsia" w:ascii="Times New Roman" w:hAnsi="Times New Roman" w:eastAsia="黑体"/>
          <w:b/>
          <w:bCs/>
          <w:kern w:val="44"/>
          <w:sz w:val="32"/>
          <w:szCs w:val="32"/>
          <w:lang w:val="en-US" w:eastAsia="zh-CN" w:bidi="ar-SA"/>
        </w:rPr>
        <w:fldChar w:fldCharType="end"/>
      </w:r>
      <w:r>
        <w:rPr>
          <w:rFonts w:eastAsia="黑体"/>
          <w:b/>
          <w:bCs/>
          <w:kern w:val="44"/>
          <w:sz w:val="32"/>
          <w:szCs w:val="32"/>
        </w:rPr>
        <w:t>理财产品</w:t>
      </w:r>
    </w:p>
    <w:p>
      <w:pPr>
        <w:spacing w:line="360" w:lineRule="auto"/>
        <w:jc w:val="center"/>
        <w:rPr>
          <w:rFonts w:eastAsia="黑体"/>
          <w:b/>
          <w:bCs/>
          <w:kern w:val="44"/>
          <w:sz w:val="32"/>
          <w:szCs w:val="32"/>
        </w:rPr>
      </w:pPr>
      <w:r>
        <w:rPr>
          <w:rFonts w:eastAsia="黑体"/>
          <w:b/>
          <w:bCs/>
          <w:kern w:val="44"/>
          <w:sz w:val="32"/>
          <w:szCs w:val="32"/>
        </w:rPr>
        <w:t>风险揭示书</w:t>
      </w:r>
    </w:p>
    <w:p>
      <w:pPr>
        <w:spacing w:line="360" w:lineRule="auto"/>
        <w:rPr>
          <w:color w:val="000000"/>
          <w:kern w:val="0"/>
        </w:rPr>
      </w:pPr>
    </w:p>
    <w:p>
      <w:pPr>
        <w:spacing w:line="360" w:lineRule="auto"/>
        <w:rPr>
          <w:color w:val="000000"/>
          <w:kern w:val="0"/>
        </w:rPr>
      </w:pPr>
      <w:r>
        <w:rPr>
          <w:color w:val="000000"/>
          <w:kern w:val="0"/>
        </w:rPr>
        <w:t>尊敬的投资者：</w:t>
      </w:r>
    </w:p>
    <w:p>
      <w:pPr>
        <w:spacing w:line="360" w:lineRule="auto"/>
        <w:rPr>
          <w:rFonts w:eastAsia="黑体"/>
          <w:b/>
          <w:bCs/>
          <w:kern w:val="44"/>
          <w:sz w:val="32"/>
          <w:szCs w:val="32"/>
        </w:rPr>
      </w:pPr>
      <w:r>
        <w:rPr>
          <w:rFonts w:eastAsia="黑体"/>
          <w:b/>
          <w:bCs/>
          <w:kern w:val="44"/>
          <w:sz w:val="32"/>
          <w:szCs w:val="32"/>
        </w:rPr>
        <w:t xml:space="preserve">   </w:t>
      </w:r>
      <w:r>
        <w:rPr>
          <w:color w:val="000000"/>
          <w:kern w:val="0"/>
        </w:rPr>
        <w:t>由于理财产品在投资管理运作过程中可能面临多种风险因素，根据相关监管规定，民生理财有限责任公司作为本理财产品的管理人郑重提示您：在您选择购买本理财产品之前，</w:t>
      </w:r>
      <w:r>
        <w:rPr>
          <w:b/>
          <w:bCs/>
          <w:color w:val="000000"/>
          <w:kern w:val="0"/>
        </w:rPr>
        <w:t>请仔细阅读本理财产品合同（包括</w:t>
      </w:r>
      <w:r>
        <w:rPr>
          <w:b/>
          <w:bCs/>
        </w:rPr>
        <w:t>《风险揭示书》《理财产品说明书》《投资者权益须知》</w:t>
      </w:r>
      <w:r>
        <w:rPr>
          <w:b/>
          <w:bCs/>
          <w:color w:val="000000"/>
          <w:kern w:val="0"/>
        </w:rPr>
        <w:t>《投资协议书》</w:t>
      </w:r>
      <w:r>
        <w:rPr>
          <w:b/>
          <w:bCs/>
        </w:rPr>
        <w:t>《</w:t>
      </w:r>
      <w:r>
        <w:rPr>
          <w:b/>
          <w:bCs/>
          <w:color w:val="000000"/>
          <w:kern w:val="0"/>
        </w:rPr>
        <w:t>代理销售协议书》及与理财产品对应的</w:t>
      </w:r>
      <w:r>
        <w:rPr>
          <w:rFonts w:hint="eastAsia"/>
          <w:b/>
          <w:bCs/>
          <w:color w:val="000000"/>
          <w:kern w:val="0"/>
        </w:rPr>
        <w:t>《</w:t>
      </w:r>
      <w:r>
        <w:rPr>
          <w:b/>
          <w:bCs/>
          <w:color w:val="000000"/>
          <w:kern w:val="0"/>
        </w:rPr>
        <w:t>理财产品公告》等相关文件）</w:t>
      </w:r>
      <w:r>
        <w:rPr>
          <w:b/>
          <w:bCs/>
        </w:rPr>
        <w:t>，</w:t>
      </w:r>
      <w:r>
        <w:rPr>
          <w:b/>
          <w:bCs/>
          <w:color w:val="000000"/>
          <w:kern w:val="0"/>
        </w:rPr>
        <w:t>注意投资风险，</w:t>
      </w:r>
      <w:r>
        <w:rPr>
          <w:b/>
          <w:bCs/>
        </w:rPr>
        <w:t>了解理财产品具体情况，并结合自身投资目的、风险偏好、资产状况等充分评估投资风险，审慎投资，独立做出是否投资的决定；</w:t>
      </w:r>
      <w:r>
        <w:t>在您</w:t>
      </w:r>
      <w:r>
        <w:rPr>
          <w:color w:val="000000"/>
          <w:kern w:val="0"/>
        </w:rPr>
        <w:t>购买本</w:t>
      </w:r>
      <w:r>
        <w:t>理财产品后，</w:t>
      </w:r>
      <w:r>
        <w:rPr>
          <w:b/>
          <w:bCs/>
        </w:rPr>
        <w:t>请关注本理财产品的信息披露，及时获取相关信息。</w:t>
      </w:r>
    </w:p>
    <w:p>
      <w:pPr>
        <w:spacing w:line="360" w:lineRule="auto"/>
        <w:rPr>
          <w:b/>
          <w:bCs/>
          <w:color w:val="000000"/>
          <w:kern w:val="0"/>
        </w:rPr>
      </w:pPr>
    </w:p>
    <w:p>
      <w:pPr>
        <w:spacing w:line="360" w:lineRule="auto"/>
        <w:rPr>
          <w:b/>
          <w:bCs/>
          <w:color w:val="000000"/>
          <w:kern w:val="0"/>
        </w:rPr>
      </w:pPr>
      <w:r>
        <w:rPr>
          <w:b/>
          <w:bCs/>
          <w:color w:val="000000"/>
          <w:kern w:val="0"/>
        </w:rPr>
        <w:t>一、特别提示</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（一）本理财产品为非保本净值型理财产品，不保证本金及收益。投资者的本金可能会因为市场变动而蒙受相应损失。投资者应充分认识投资风险，谨慎投资。</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（二）理财非存款、产品有风险、投资须谨慎。</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（三）理财产品过往业绩不代表其未来表现，不等于理财产品实际收益，投资须谨慎。 理财产品的任何业绩比较基准、业绩比较基准区间等类似表述均属不具有法律约束力的用语，不代表投资者可能获得的实际收益，亦不构成管理人对本理财产品的任何收益承诺。</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（四）请注意投资风险，仔细阅读本理财产品合同，了解理财产品具体情况。</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（五）请关注理财产品的信息披露，及时获取相关信息。根据理财产品的成立日、到期日和认购规则，合理安排资金运用。</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（六）本理财产品类型为【</w:t>
      </w:r>
      <w:r>
        <w:rPr>
          <w:b/>
          <w:bCs/>
          <w:color w:val="000000"/>
          <w:kern w:val="0"/>
        </w:rPr>
        <w:fldChar w:fldCharType="begin">
          <w:ffData>
            <w:name w:val="Text9"/>
            <w:enabled/>
            <w:calcOnExit w:val="0"/>
            <w:textInput>
              <w:default w:val="固定收益类"/>
            </w:textInput>
          </w:ffData>
        </w:fldChar>
      </w:r>
      <w:r>
        <w:rPr>
          <w:b/>
          <w:bCs/>
          <w:color w:val="000000"/>
          <w:kern w:val="0"/>
        </w:rPr>
        <w:instrText xml:space="preserve">FORMTEXT</w:instrText>
      </w:r>
      <w:r>
        <w:rPr>
          <w:b/>
          <w:bCs/>
          <w:color w:val="000000"/>
          <w:kern w:val="0"/>
        </w:rPr>
        <w:fldChar w:fldCharType="separate"/>
      </w:r>
      <w:r>
        <w:rPr>
          <w:b/>
          <w:bCs/>
          <w:color w:val="000000"/>
          <w:kern w:val="0"/>
        </w:rPr>
        <w:t>固定收益类</w:t>
      </w:r>
      <w:r>
        <w:rPr>
          <w:b/>
          <w:bCs/>
          <w:color w:val="000000"/>
          <w:kern w:val="0"/>
        </w:rPr>
        <w:fldChar w:fldCharType="end"/>
      </w:r>
      <w:r>
        <w:rPr>
          <w:rFonts w:hint="eastAsia"/>
          <w:b/>
          <w:bCs/>
          <w:color w:val="000000"/>
          <w:kern w:val="0"/>
        </w:rPr>
        <w:t>，</w:t>
      </w:r>
      <w:r>
        <w:rPr>
          <w:rFonts w:hint="eastAsia"/>
          <w:b/>
          <w:bCs/>
          <w:kern w:val="44"/>
          <w:szCs w:val="20"/>
          <w:lang w:bidi="ar"/>
        </w:rPr>
        <w:t>非保本浮动收益型。本理财产品不保证本金和收益，投资者可能面临因为市场变动而蒙受相应损失</w:t>
      </w:r>
      <w:r>
        <w:rPr>
          <w:b/>
          <w:bCs/>
          <w:color w:val="000000"/>
          <w:kern w:val="0"/>
        </w:rPr>
        <w:t>】。</w:t>
      </w:r>
    </w:p>
    <w:p>
      <w:pPr>
        <w:spacing w:line="360" w:lineRule="auto"/>
        <w:ind w:firstLine="420" w:firstLineChars="200"/>
        <w:rPr>
          <w:b/>
          <w:bCs/>
          <w:color w:val="000000"/>
          <w:kern w:val="0"/>
        </w:rPr>
      </w:pPr>
      <w:r>
        <w:rPr>
          <w:rFonts w:eastAsia="微软雅黑"/>
          <w:b/>
          <w:bCs/>
          <w:color w:val="000000"/>
          <w:kern w:val="0"/>
        </w:rPr>
        <w:t>▲</w:t>
      </w:r>
      <w:r>
        <w:rPr>
          <w:b/>
          <w:bCs/>
          <w:color w:val="000000"/>
          <w:kern w:val="0"/>
        </w:rPr>
        <w:t>（七）本理财产品期限为【</w:t>
      </w:r>
      <w:bookmarkStart w:id="0" w:name="Text10"/>
      <w:r>
        <w:rPr>
          <w:rFonts w:hint="eastAsia" w:ascii="Times New Roman" w:hAnsi="Times New Roman" w:eastAsia="宋体" w:cs="Times New Roman"/>
          <w:b/>
          <w:bCs/>
          <w:color w:val="000000"/>
          <w:kern w:val="0"/>
          <w:sz w:val="21"/>
          <w:szCs w:val="24"/>
          <w:lang w:val="en-US" w:eastAsia="zh-CN" w:bidi="ar-SA"/>
        </w:rPr>
        <w:fldChar w:fldCharType="begin">
          <w:ffData>
            <w:name w:val="Text10"/>
            <w:enabled/>
            <w:calcOnExit w:val="0"/>
            <w:textInput>
              <w:default w:val="1092个自然日"/>
            </w:textInput>
          </w:ffData>
        </w:fldChar>
      </w:r>
      <w:r>
        <w:rPr>
          <w:rFonts w:hint="eastAsia" w:ascii="Times New Roman" w:hAnsi="Times New Roman" w:eastAsia="宋体" w:cs="Times New Roman"/>
          <w:b/>
          <w:bCs/>
          <w:color w:val="000000"/>
          <w:kern w:val="0"/>
          <w:sz w:val="21"/>
          <w:szCs w:val="24"/>
          <w:lang w:val="en-US" w:eastAsia="zh-CN" w:bidi="ar-SA"/>
        </w:rPr>
        <w:instrText xml:space="preserve">FORMTEXT</w:instrText>
      </w:r>
      <w:r>
        <w:rPr>
          <w:rFonts w:hint="eastAsia" w:ascii="Times New Roman" w:hAnsi="Times New Roman" w:eastAsia="宋体" w:cs="Times New Roman"/>
          <w:b/>
          <w:bCs/>
          <w:color w:val="000000"/>
          <w:kern w:val="0"/>
          <w:sz w:val="21"/>
          <w:szCs w:val="24"/>
          <w:lang w:val="en-US" w:eastAsia="zh-CN" w:bidi="ar-SA"/>
        </w:rPr>
        <w:fldChar w:fldCharType="separate"/>
      </w:r>
      <w:r>
        <w:rPr>
          <w:rFonts w:hint="eastAsia" w:ascii="Times New Roman" w:hAnsi="Times New Roman" w:eastAsia="宋体" w:cs="Times New Roman"/>
          <w:b/>
          <w:bCs/>
          <w:color w:val="000000"/>
          <w:kern w:val="0"/>
          <w:sz w:val="21"/>
          <w:szCs w:val="24"/>
          <w:lang w:val="en-US" w:eastAsia="zh-CN" w:bidi="ar-SA"/>
        </w:rPr>
        <w:t>1092个自然日</w:t>
      </w:r>
      <w:r>
        <w:rPr>
          <w:rFonts w:hint="eastAsia" w:ascii="Times New Roman" w:hAnsi="Times New Roman" w:eastAsia="宋体" w:cs="Times New Roman"/>
          <w:b/>
          <w:bCs/>
          <w:color w:val="000000"/>
          <w:kern w:val="0"/>
          <w:sz w:val="21"/>
          <w:szCs w:val="24"/>
          <w:lang w:val="en-US" w:eastAsia="zh-CN" w:bidi="ar-SA"/>
        </w:rPr>
        <w:fldChar w:fldCharType="end"/>
      </w:r>
      <w:bookmarkEnd w:id="0"/>
      <w:r>
        <w:rPr>
          <w:b/>
          <w:bCs/>
          <w:color w:val="000000"/>
          <w:kern w:val="0"/>
        </w:rPr>
        <w:t>】。</w:t>
      </w:r>
    </w:p>
    <w:p>
      <w:pPr>
        <w:spacing w:line="360" w:lineRule="auto"/>
        <w:ind w:firstLine="420" w:firstLineChars="200"/>
        <w:jc w:val="left"/>
      </w:pPr>
      <w:r>
        <w:rPr>
          <w:rFonts w:eastAsia="微软雅黑"/>
          <w:b/>
          <w:bCs/>
          <w:color w:val="000000"/>
          <w:kern w:val="0"/>
        </w:rPr>
        <w:t>▲</w:t>
      </w:r>
      <w:r>
        <w:rPr>
          <w:b/>
          <w:bCs/>
          <w:color w:val="000000"/>
          <w:kern w:val="0"/>
        </w:rPr>
        <w:t>（八）管理人对本理财产品的风险评级为【</w:t>
      </w:r>
      <w:r>
        <w:rPr>
          <w:b/>
          <w:bCs/>
          <w:color w:val="000000"/>
          <w:kern w:val="44"/>
        </w:rPr>
        <w:fldChar w:fldCharType="begin">
          <w:ffData>
            <w:name w:val="Text8"/>
            <w:enabled/>
            <w:calcOnExit w:val="0"/>
            <w:textInput>
              <w:default w:val="二级，即较低风险水平。"/>
            </w:textInput>
          </w:ffData>
        </w:fldChar>
      </w:r>
      <w:r>
        <w:rPr>
          <w:b/>
          <w:bCs/>
          <w:color w:val="000000"/>
          <w:kern w:val="44"/>
        </w:rPr>
        <w:instrText xml:space="preserve">FORMTEXT</w:instrText>
      </w:r>
      <w:r>
        <w:rPr>
          <w:b/>
          <w:bCs/>
          <w:color w:val="000000"/>
          <w:kern w:val="44"/>
        </w:rPr>
        <w:fldChar w:fldCharType="separate"/>
      </w:r>
      <w:r>
        <w:rPr>
          <w:b/>
          <w:bCs/>
          <w:color w:val="000000"/>
          <w:kern w:val="44"/>
        </w:rPr>
        <w:t>二级，即较低风险水平。</w:t>
      </w:r>
      <w:r>
        <w:rPr>
          <w:b/>
          <w:bCs/>
          <w:color w:val="000000"/>
          <w:kern w:val="44"/>
        </w:rPr>
        <w:fldChar w:fldCharType="end"/>
      </w:r>
      <w:r>
        <w:rPr>
          <w:b/>
          <w:bCs/>
          <w:kern w:val="44"/>
        </w:rPr>
        <w:t>】本</w:t>
      </w:r>
      <w:r>
        <w:rPr>
          <w:b/>
          <w:kern w:val="0"/>
          <w:szCs w:val="20"/>
        </w:rPr>
        <w:t>理财产品风险特征为：【</w:t>
      </w:r>
      <w:r>
        <w:rPr>
          <w:b/>
          <w:bCs/>
          <w:color w:val="000000"/>
          <w:kern w:val="0"/>
        </w:rPr>
        <w:fldChar w:fldCharType="begin">
          <w:ffData>
            <w:name w:val="Text10"/>
            <w:enabled/>
            <w:calcOnExit w:val="0"/>
            <w:textInput>
              <w:default w:val="理财产品的整体投资风险较低，投资风格稳健。产品本金遭受损失的可能性较低，产品净值可能发生小幅回撤。"/>
            </w:textInput>
          </w:ffData>
        </w:fldChar>
      </w:r>
      <w:r>
        <w:rPr>
          <w:b/>
          <w:bCs/>
          <w:color w:val="000000"/>
          <w:kern w:val="0"/>
        </w:rPr>
        <w:instrText xml:space="preserve">FORMTEXT</w:instrText>
      </w:r>
      <w:r>
        <w:rPr>
          <w:b/>
          <w:bCs/>
          <w:color w:val="000000"/>
          <w:kern w:val="0"/>
        </w:rPr>
        <w:fldChar w:fldCharType="separate"/>
      </w:r>
      <w:r>
        <w:rPr>
          <w:b/>
          <w:bCs/>
          <w:color w:val="000000"/>
          <w:kern w:val="0"/>
        </w:rPr>
        <w:t>理财产品的整体投资风险较低，投资风格稳健。产品本金遭受损失的可能性较低，产品净值可能发生小幅回撤</w:t>
      </w:r>
      <w:r>
        <w:rPr>
          <w:b/>
          <w:bCs/>
          <w:color w:val="000000"/>
          <w:kern w:val="0"/>
        </w:rPr>
        <w:fldChar w:fldCharType="end"/>
      </w:r>
      <w:r>
        <w:rPr>
          <w:b/>
          <w:kern w:val="0"/>
          <w:szCs w:val="20"/>
        </w:rPr>
        <w:t>】</w:t>
      </w:r>
      <w:r>
        <w:rPr>
          <w:b/>
          <w:bCs/>
          <w:kern w:val="44"/>
        </w:rPr>
        <w:t>。</w:t>
      </w:r>
      <w:r>
        <w:rPr>
          <w:rFonts w:hint="eastAsia"/>
          <w:b/>
          <w:bCs/>
          <w:kern w:val="44"/>
        </w:rPr>
        <w:t>如代理销售机构对本理财产品的风险评级与上述评级不一致的，以代理销售机构最终披露的评级结果为准。</w:t>
      </w:r>
    </w:p>
    <w:p>
      <w:pPr>
        <w:spacing w:line="360" w:lineRule="auto"/>
        <w:ind w:firstLine="420" w:firstLineChars="200"/>
      </w:pPr>
      <w:r>
        <w:rPr>
          <w:rFonts w:eastAsia="微软雅黑"/>
          <w:b/>
          <w:bCs/>
          <w:color w:val="000000"/>
          <w:kern w:val="0"/>
        </w:rPr>
        <w:t>▲</w:t>
      </w:r>
      <w:r>
        <w:rPr>
          <w:b/>
          <w:bCs/>
          <w:color w:val="000000"/>
          <w:kern w:val="0"/>
        </w:rPr>
        <w:t>（九）</w:t>
      </w:r>
      <w:bookmarkStart w:id="1" w:name="Text11"/>
      <w:r>
        <w:rPr>
          <w:b/>
          <w:bCs/>
          <w:color w:val="000000"/>
          <w:kern w:val="0"/>
        </w:rPr>
        <w:fldChar w:fldCharType="begin">
          <w:ffData>
            <w:name w:val="Text11"/>
            <w:enabled/>
            <w:calcOnExit w:val="0"/>
            <w:textInput>
              <w:default w:val="经理财产品管理人评估，适合购买本理财产品的投资者包括【风险承受能力评级为稳健型、平衡型、成长型和进取型的个人投资者】。"/>
            </w:textInput>
          </w:ffData>
        </w:fldChar>
      </w:r>
      <w:r>
        <w:rPr>
          <w:b/>
          <w:bCs/>
          <w:color w:val="000000"/>
          <w:kern w:val="0"/>
        </w:rPr>
        <w:instrText xml:space="preserve">FORMTEXT</w:instrText>
      </w:r>
      <w:r>
        <w:rPr>
          <w:b/>
          <w:bCs/>
          <w:color w:val="000000"/>
          <w:kern w:val="0"/>
        </w:rPr>
        <w:fldChar w:fldCharType="separate"/>
      </w:r>
      <w:r>
        <w:rPr>
          <w:b/>
          <w:bCs/>
          <w:color w:val="000000"/>
          <w:kern w:val="0"/>
        </w:rPr>
        <w:t>经理财产品管理人评估，适合购买本理财产品的投资者包括【风险承受能力评级为稳健型、平衡型、成长型和进取型的个人投资者】。</w:t>
      </w:r>
      <w:r>
        <w:rPr>
          <w:b/>
          <w:bCs/>
          <w:color w:val="000000"/>
          <w:kern w:val="0"/>
        </w:rPr>
        <w:fldChar w:fldCharType="end"/>
      </w:r>
      <w:bookmarkEnd w:id="1"/>
      <w:r>
        <w:rPr>
          <w:b/>
          <w:bCs/>
          <w:color w:val="000000"/>
          <w:kern w:val="0"/>
        </w:rPr>
        <w:t>超过一年未进行风险承受能力评估或发生可能影响自身风险承受能力情况的</w:t>
      </w:r>
      <w:r>
        <w:rPr>
          <w:b/>
          <w:bCs/>
          <w:color w:val="000000"/>
          <w:kern w:val="0"/>
        </w:rPr>
        <w:fldChar w:fldCharType="begin">
          <w:ffData>
            <w:name w:val="Text22"/>
            <w:enabled/>
            <w:calcOnExit w:val="0"/>
            <w:textInput>
              <w:default w:val="投资者"/>
            </w:textInput>
          </w:ffData>
        </w:fldChar>
      </w:r>
      <w:r>
        <w:rPr>
          <w:b/>
          <w:bCs/>
          <w:color w:val="000000"/>
          <w:kern w:val="0"/>
        </w:rPr>
        <w:instrText xml:space="preserve">FORMTEXT</w:instrText>
      </w:r>
      <w:r>
        <w:rPr>
          <w:b/>
          <w:bCs/>
          <w:color w:val="000000"/>
          <w:kern w:val="0"/>
        </w:rPr>
        <w:fldChar w:fldCharType="separate"/>
      </w:r>
      <w:r>
        <w:rPr>
          <w:b/>
          <w:bCs/>
          <w:color w:val="000000"/>
          <w:kern w:val="0"/>
        </w:rPr>
        <w:t>投资者</w:t>
      </w:r>
      <w:r>
        <w:rPr>
          <w:b/>
          <w:bCs/>
          <w:color w:val="000000"/>
          <w:kern w:val="0"/>
        </w:rPr>
        <w:fldChar w:fldCharType="end"/>
      </w:r>
      <w:r>
        <w:rPr>
          <w:b/>
          <w:bCs/>
          <w:color w:val="000000"/>
          <w:kern w:val="0"/>
        </w:rPr>
        <w:t xml:space="preserve">，再次购买理财产品时，须及时完成风险承受能力的重新评估。如影响投资者风险承受能力的因素发生变化，请及时完成风险承受能力的重新评估。 </w:t>
      </w:r>
    </w:p>
    <w:p>
      <w:pPr>
        <w:spacing w:line="360" w:lineRule="auto"/>
        <w:ind w:firstLine="422" w:firstLineChars="200"/>
        <w:rPr>
          <w:rFonts w:hint="default" w:ascii="Times New Roman" w:hAnsi="Times New Roman" w:eastAsia="宋体" w:cs="Times New Roman"/>
          <w:b/>
          <w:bCs/>
          <w:color w:val="000000"/>
          <w:kern w:val="0"/>
        </w:rPr>
      </w:pPr>
      <w:bookmarkStart w:id="2" w:name="Text39"/>
      <w:r>
        <w:rPr>
          <w:rFonts w:ascii="Times New Roman" w:hAnsi="Times New Roman" w:eastAsia="宋体" w:cs="Times New Roman"/>
          <w:b/>
          <w:bCs/>
          <w:color w:val="000000"/>
          <w:kern w:val="0"/>
        </w:rPr>
        <w:fldChar w:fldCharType="begin">
          <w:ffData>
            <w:name w:val="Text39"/>
            <w:enabled/>
            <w:calcOnExit w:val="0"/>
            <w:textInput>
              <w:default w:val="民生理财有限责任公司理财产品风险评级与不同风险承受能力的投资者群体的对应关系详见《投资者权益须知》。如代理销售机构适用和管理人不同的投资者与理财产品的匹配方法，以代理销售机构向投资者最终披露的匹配方法为准。"/>
            </w:textInput>
          </w:ffData>
        </w:fldChar>
      </w:r>
      <w:r>
        <w:rPr>
          <w:rFonts w:ascii="Times New Roman" w:hAnsi="Times New Roman" w:eastAsia="宋体" w:cs="Times New Roman"/>
          <w:b/>
          <w:bCs/>
          <w:color w:val="000000"/>
          <w:kern w:val="0"/>
        </w:rPr>
        <w:instrText xml:space="preserve">FORMTEXT</w:instrText>
      </w:r>
      <w:r>
        <w:rPr>
          <w:rFonts w:ascii="Times New Roman" w:hAnsi="Times New Roman" w:eastAsia="宋体" w:cs="Times New Roman"/>
          <w:b/>
          <w:bCs/>
          <w:color w:val="000000"/>
          <w:kern w:val="0"/>
        </w:rPr>
        <w:fldChar w:fldCharType="separate"/>
      </w:r>
      <w:r>
        <w:rPr>
          <w:rFonts w:ascii="Times New Roman" w:hAnsi="Times New Roman" w:eastAsia="宋体" w:cs="Times New Roman"/>
          <w:b/>
          <w:bCs/>
          <w:color w:val="000000"/>
          <w:kern w:val="0"/>
        </w:rPr>
        <w:t>民生理财有限责任公司理财产品风险评级与不同风险承受能力的投资者群体的对应关系详见《投资者权益须知》。如代理销售机构适用和管理人不同的投资者与理财产品的匹配方法，以代理销售机构向投资者最终披露的匹配方法为准。</w:t>
      </w:r>
      <w:r>
        <w:rPr>
          <w:rFonts w:ascii="Times New Roman" w:hAnsi="Times New Roman" w:eastAsia="宋体" w:cs="Times New Roman"/>
          <w:b/>
          <w:bCs/>
          <w:color w:val="000000"/>
          <w:kern w:val="0"/>
        </w:rPr>
        <w:fldChar w:fldCharType="end"/>
      </w:r>
      <w:bookmarkEnd w:id="2"/>
    </w:p>
    <w:p>
      <w:pPr>
        <w:spacing w:line="360" w:lineRule="auto"/>
        <w:ind w:firstLine="420" w:firstLineChars="200"/>
        <w:rPr>
          <w:b/>
          <w:bCs/>
          <w:color w:val="000000"/>
          <w:kern w:val="0"/>
        </w:rPr>
      </w:pPr>
      <w:r>
        <w:rPr>
          <w:rFonts w:eastAsia="微软雅黑"/>
          <w:b/>
          <w:bCs/>
          <w:color w:val="000000"/>
          <w:kern w:val="0"/>
        </w:rPr>
        <w:t>▲</w:t>
      </w:r>
      <w:r>
        <w:rPr>
          <w:b/>
          <w:bCs/>
          <w:color w:val="000000"/>
          <w:kern w:val="0"/>
        </w:rPr>
        <w:t>（十）最不利投资情形下的投资结果示例：投资者认购理财产品的本金为100万元，在理财产品投资组合资产全部损失的最不利投资情形下，投资者认购理财产品的本金100万元将全部损失。</w:t>
      </w:r>
    </w:p>
    <w:p>
      <w:pPr>
        <w:spacing w:line="360" w:lineRule="auto"/>
        <w:ind w:firstLine="422" w:firstLineChars="200"/>
        <w:rPr>
          <w:b/>
          <w:bCs/>
          <w:color w:val="000000"/>
          <w:kern w:val="0"/>
        </w:rPr>
      </w:pPr>
    </w:p>
    <w:p>
      <w:pPr>
        <w:spacing w:line="360" w:lineRule="auto"/>
        <w:rPr>
          <w:b/>
          <w:bCs/>
          <w:color w:val="000000"/>
          <w:kern w:val="0"/>
        </w:rPr>
      </w:pPr>
      <w:r>
        <w:rPr>
          <w:b/>
          <w:bCs/>
          <w:color w:val="000000"/>
          <w:kern w:val="0"/>
        </w:rPr>
        <w:t>二、风险揭示</w:t>
      </w:r>
    </w:p>
    <w:p>
      <w:pPr>
        <w:spacing w:line="360" w:lineRule="auto"/>
        <w:ind w:firstLine="422" w:firstLineChars="200"/>
        <w:rPr>
          <w:b/>
          <w:bCs/>
          <w:color w:val="000000"/>
          <w:kern w:val="0"/>
        </w:rPr>
      </w:pPr>
      <w:r>
        <w:rPr>
          <w:b/>
          <w:bCs/>
          <w:color w:val="000000"/>
          <w:kern w:val="0"/>
        </w:rPr>
        <w:t xml:space="preserve">本理财产品不保证本金和收益，请投资者根据自身理财目标、投资经验、财务状况、风险承受能力以及其他相关情况慎重考虑购买本理财产品。不利投资情形下，投资者可能面临投资本金和收益遭受部分甚至全部损失的风险。本风险揭示书列示的风险指本理财产品项下可能涉及的风险，包括但不限于： </w:t>
      </w:r>
    </w:p>
    <w:p>
      <w:pPr>
        <w:spacing w:line="360" w:lineRule="auto"/>
        <w:ind w:firstLine="422" w:firstLineChars="200"/>
        <w:rPr>
          <w:b/>
          <w:bCs/>
          <w:color w:val="000000"/>
          <w:kern w:val="0"/>
        </w:rPr>
      </w:pPr>
      <w:r>
        <w:rPr>
          <w:b/>
          <w:bCs/>
          <w:color w:val="000000"/>
          <w:kern w:val="0"/>
        </w:rPr>
        <w:t>（一）政策风险：本理财产品根据当前的相关法律法规、监管规定和政策设计。如国家宏观政策以及市场相关法律法规、监管规定发生变化，可能影响理财产品的发行、投资、兑付等流程的正常进行，影响本理财产品的投资运作和收益。</w:t>
      </w:r>
    </w:p>
    <w:p>
      <w:pPr>
        <w:spacing w:line="360" w:lineRule="auto"/>
        <w:ind w:firstLine="422" w:firstLineChars="200"/>
        <w:rPr>
          <w:b/>
          <w:bCs/>
          <w:color w:val="000000"/>
          <w:kern w:val="0"/>
        </w:rPr>
      </w:pPr>
      <w:r>
        <w:rPr>
          <w:b/>
          <w:bCs/>
          <w:color w:val="000000"/>
          <w:kern w:val="0"/>
        </w:rPr>
        <w:t>（二）市场风险：本理财产品在合同约定的投资范围内，所投资标的可能会因为国家政策、经济周期、利率、汇率等因素的变化而产生价格波动。理财产品的投资组合价值会因此产生波动，进而影响本理财产品的收益。</w:t>
      </w:r>
    </w:p>
    <w:p>
      <w:pPr>
        <w:spacing w:line="360" w:lineRule="auto"/>
        <w:ind w:firstLine="422" w:firstLineChars="200"/>
        <w:rPr>
          <w:b/>
          <w:bCs/>
          <w:color w:val="000000"/>
          <w:kern w:val="0"/>
        </w:rPr>
      </w:pPr>
      <w:r>
        <w:rPr>
          <w:b/>
          <w:bCs/>
          <w:color w:val="000000"/>
          <w:kern w:val="0"/>
        </w:rPr>
        <w:t>（三）信用风险：本理财产品所投资的标准化或非标准化债权类资产，可能会因为债务人的经营情况不佳、财务状况恶化等不可预见因素出现信用违约事件，进而影响理财产品的投资组合价值。</w:t>
      </w:r>
    </w:p>
    <w:p>
      <w:pPr>
        <w:spacing w:line="360" w:lineRule="auto"/>
        <w:ind w:firstLine="422" w:firstLineChars="200"/>
        <w:rPr>
          <w:b/>
          <w:bCs/>
          <w:color w:val="000000"/>
          <w:kern w:val="0"/>
        </w:rPr>
      </w:pPr>
      <w:r>
        <w:rPr>
          <w:b/>
          <w:bCs/>
          <w:color w:val="000000"/>
          <w:kern w:val="0"/>
        </w:rPr>
        <w:t>（四）流动性风险：对于封闭式理财产品，理财封闭期内，除非另有约定，投资本理财产品的投资者不能提前终止或赎回；在理财封闭期内，如果投资者产生流动性需求，可能面临产品不能随时变现、持有期与资金需求日不匹配的流动性风险，并可能使投资者丧失其他投资机会。</w:t>
      </w:r>
    </w:p>
    <w:p>
      <w:pPr>
        <w:spacing w:line="360" w:lineRule="auto"/>
        <w:ind w:firstLine="422" w:firstLineChars="200"/>
        <w:rPr>
          <w:b/>
          <w:bCs/>
          <w:color w:val="000000"/>
          <w:kern w:val="0"/>
        </w:rPr>
      </w:pPr>
      <w:r>
        <w:rPr>
          <w:b/>
          <w:bCs/>
          <w:color w:val="000000"/>
          <w:kern w:val="0"/>
        </w:rPr>
        <w:t>（五）管理风险：本理财产品投资运作过程中，管理人（包括本理财产品的管理人、所投资的信托计划/资管计划的受托人/管理人（如有）、相关投资顾问（如有）等）的知识、经验、判断、决策、技能等，会影响其对信息的占有以及对经济形势、证券价格走势的判断，从而影响本理财产品收益水平；管理人的管理手段和管理技术等因素的变化也会影响本理财产品收益水平。</w:t>
      </w:r>
    </w:p>
    <w:p>
      <w:pPr>
        <w:spacing w:line="360" w:lineRule="auto"/>
        <w:ind w:firstLine="422" w:firstLineChars="200"/>
        <w:rPr>
          <w:b/>
          <w:bCs/>
        </w:rPr>
      </w:pPr>
      <w:r>
        <w:rPr>
          <w:b/>
          <w:bCs/>
          <w:color w:val="000000"/>
          <w:kern w:val="0"/>
        </w:rPr>
        <w:t>（六）理财产品不成立风险：</w:t>
      </w:r>
      <w:r>
        <w:rPr>
          <w:b/>
          <w:bCs/>
          <w:kern w:val="0"/>
        </w:rPr>
        <w:t>若由于外部不可抗力因素导致产品募集不成功，或因募集规模低于《理财产品说明书》约定的成立规模下限（如有），或其他因素导致本理财无法成立的，</w:t>
      </w:r>
      <w:r>
        <w:rPr>
          <w:b/>
          <w:bCs/>
        </w:rPr>
        <w:t>投资者可能会因此面临理财产品不成立带来的再投资风险。</w:t>
      </w:r>
    </w:p>
    <w:p>
      <w:pPr>
        <w:spacing w:line="360" w:lineRule="auto"/>
        <w:ind w:firstLine="422" w:firstLineChars="200"/>
        <w:rPr>
          <w:b/>
          <w:bCs/>
        </w:rPr>
      </w:pPr>
      <w:r>
        <w:rPr>
          <w:b/>
          <w:bCs/>
        </w:rPr>
        <w:t>（七）延期风险：因市场成交量不足、资产限制赎回、暂停交易、缺乏意愿交易对手等原因，管理人未能及时完成资产变现而导致理财产品不能及时变现、持有期与资金需求日不匹配或不能按时支付清算分配金额，则投资者可能面临理财产品延期、调整等风险。</w:t>
      </w:r>
    </w:p>
    <w:p>
      <w:pPr>
        <w:spacing w:line="360" w:lineRule="auto"/>
        <w:ind w:firstLine="422" w:firstLineChars="200"/>
        <w:rPr>
          <w:b/>
          <w:bCs/>
        </w:rPr>
      </w:pPr>
      <w:r>
        <w:rPr>
          <w:b/>
          <w:bCs/>
        </w:rPr>
        <w:t>（八）信息传递风险：管理人按照有关信息披露条款的约定，发布本理财产品的信息披露公告。投资者应根据信息披露条款的约定主动、及时获取相关信息。投资者签署理财产品合同即视为其已认可并知晓管理人或</w:t>
      </w:r>
      <w:r>
        <w:rPr>
          <w:rFonts w:hint="eastAsia"/>
          <w:b/>
          <w:bCs/>
        </w:rPr>
        <w:t>代理销售机构</w:t>
      </w:r>
      <w:r>
        <w:rPr>
          <w:b/>
          <w:bCs/>
        </w:rPr>
        <w:t>的信息披露渠道。如果投资者未及时查询或由于不可抗力或意外事件的影响使得投资者无法及时了解理财产品信息，进而影响投资者的投资决策，由此产生的责任和风险由投资者自行承担。投资者预留在管理人或</w:t>
      </w:r>
      <w:r>
        <w:rPr>
          <w:rFonts w:hint="eastAsia"/>
          <w:b/>
          <w:bCs/>
        </w:rPr>
        <w:t>代理销售机构</w:t>
      </w:r>
      <w:r>
        <w:rPr>
          <w:b/>
          <w:bCs/>
        </w:rPr>
        <w:t>处的有效联系方式变更的，应及时通知管理人或</w:t>
      </w:r>
      <w:r>
        <w:rPr>
          <w:rFonts w:hint="eastAsia"/>
          <w:b/>
          <w:bCs/>
        </w:rPr>
        <w:t>代理销售机构</w:t>
      </w:r>
      <w:r>
        <w:rPr>
          <w:b/>
          <w:bCs/>
        </w:rPr>
        <w:t>。如投资者未及时告知管理人或</w:t>
      </w:r>
      <w:r>
        <w:rPr>
          <w:rFonts w:hint="eastAsia"/>
          <w:b/>
          <w:bCs/>
        </w:rPr>
        <w:t>代理销售机构</w:t>
      </w:r>
      <w:r>
        <w:rPr>
          <w:b/>
          <w:bCs/>
        </w:rPr>
        <w:t>联系方式变更或因其他原因导致管理人或</w:t>
      </w:r>
      <w:r>
        <w:rPr>
          <w:rFonts w:hint="eastAsia"/>
          <w:b/>
          <w:bCs/>
        </w:rPr>
        <w:t>代理销售机构</w:t>
      </w:r>
      <w:r>
        <w:rPr>
          <w:b/>
          <w:bCs/>
        </w:rPr>
        <w:t>在需要联系投资者时无法及时联系上，可能会由此影响投资者的投资决策，因此产生的责任和风险由投资者自行承担，但前述约定不免除因管理人或</w:t>
      </w:r>
      <w:r>
        <w:rPr>
          <w:rFonts w:hint="eastAsia"/>
          <w:b/>
          <w:bCs/>
        </w:rPr>
        <w:t>代理销售机构</w:t>
      </w:r>
      <w:r>
        <w:rPr>
          <w:b/>
          <w:bCs/>
        </w:rPr>
        <w:t>过错导致依法应由管理人或</w:t>
      </w:r>
      <w:r>
        <w:rPr>
          <w:rFonts w:hint="eastAsia"/>
          <w:b/>
          <w:bCs/>
        </w:rPr>
        <w:t>代理销售机构</w:t>
      </w:r>
      <w:r>
        <w:rPr>
          <w:b/>
          <w:bCs/>
        </w:rPr>
        <w:t xml:space="preserve">承担的责任。 </w:t>
      </w:r>
    </w:p>
    <w:p>
      <w:pPr>
        <w:spacing w:line="360" w:lineRule="auto"/>
        <w:ind w:firstLine="422" w:firstLineChars="200"/>
        <w:rPr>
          <w:b/>
          <w:bCs/>
        </w:rPr>
      </w:pPr>
      <w:r>
        <w:rPr>
          <w:b/>
          <w:bCs/>
        </w:rPr>
        <w:t>（九）不可抗力及其他意外事件风险：由于自然灾害、战争、重大政策变化、信息系统故障、通讯系统故障、电力系统故障、金融危机、投资市场停止交易等非管理人所能控制的原因，可能对理财产品的产品成立、投资运作、资金划付、信息披露、公告通知造成影响，可能导致产品收益降低乃至理财产品本金遭受损失。对于由不可抗力及意外事件导致的损失，投资者须自行承担，管理人对此不承担责任。</w:t>
      </w:r>
    </w:p>
    <w:p>
      <w:pPr>
        <w:spacing w:line="360" w:lineRule="auto"/>
        <w:ind w:firstLine="422" w:firstLineChars="200"/>
        <w:rPr>
          <w:b/>
          <w:bCs/>
        </w:rPr>
      </w:pPr>
      <w:r>
        <w:rPr>
          <w:b/>
          <w:bCs/>
        </w:rPr>
        <w:t>（十）提前终止风险：如管理人按照理财产品合同约定在特定情况下提前终止理财产品的，则该理财产品的实际期限可能短于预计存续期限。理财产品提前终止将导致投资者无法实现期初预期的全部收益。</w:t>
      </w:r>
    </w:p>
    <w:p>
      <w:pPr>
        <w:spacing w:line="360" w:lineRule="auto"/>
        <w:ind w:firstLine="422" w:firstLineChars="200"/>
        <w:rPr>
          <w:b/>
          <w:bCs/>
        </w:rPr>
      </w:pPr>
      <w:r>
        <w:rPr>
          <w:b/>
          <w:bCs/>
        </w:rPr>
        <w:t>（十一）估值风险：本理财产品按照《理财产品说明书》的估值方法进行估值，理财产品估值仅作为参考，且与实际变现价值可能发生偏差，由此产生的风险由投资者自行承担。</w:t>
      </w:r>
    </w:p>
    <w:p>
      <w:pPr>
        <w:spacing w:line="360" w:lineRule="auto"/>
        <w:ind w:firstLine="422" w:firstLineChars="200"/>
        <w:rPr>
          <w:b/>
          <w:bCs/>
        </w:rPr>
      </w:pPr>
      <w:bookmarkStart w:id="3" w:name="Text60"/>
      <w:r>
        <w:rPr>
          <w:b/>
          <w:bCs/>
        </w:rPr>
        <w:fldChar w:fldCharType="begin">
          <w:ffData>
            <w:name w:val="Text60"/>
            <w:enabled/>
            <w:calcOnExit w:val="0"/>
            <w:textInput>
              <w:default w:val="（十二）参与国债充抵期货保证金业务的特别风险：期货交易所实行保证金制度、当日无负债结算制度等风险管理制度，在特定情况下，本理财产品所投资的参与国债充抵期货保证金业务的国债可能被强制处置，国债的质押、解押也依赖于合作期货公司的执行与其自身信用，一旦出现强制处置或延时质押、解押，可能给本理财产品造成损失。"/>
            </w:textInput>
          </w:ffData>
        </w:fldChar>
      </w:r>
      <w:r>
        <w:rPr>
          <w:b/>
          <w:bCs/>
        </w:rPr>
        <w:instrText xml:space="preserve">FORMTEXT</w:instrText>
      </w:r>
      <w:r>
        <w:rPr>
          <w:b/>
          <w:bCs/>
        </w:rPr>
        <w:fldChar w:fldCharType="separate"/>
      </w:r>
      <w:r>
        <w:rPr>
          <w:b/>
          <w:bCs/>
        </w:rPr>
        <w:t>（十二）参与国债充抵期货保证金业务的特别风险：期货交易所实行保证金制度、当日无负债结算制度等风险管理制度，在特定情况下，本理财产品所投资的参与国债充抵期货保证金业务的国债可能被强制处置，国债的质押、解押也依赖于合作期货公司的执行与其自身信用，一旦出现强制处置或延时质押、解押，可能给本理财产品造成损失。</w:t>
      </w:r>
      <w:r>
        <w:rPr>
          <w:b/>
          <w:bCs/>
        </w:rPr>
        <w:fldChar w:fldCharType="end"/>
      </w:r>
      <w:bookmarkEnd w:id="3"/>
    </w:p>
    <w:p>
      <w:pPr>
        <w:pStyle w:val="2"/>
        <w:adjustRightInd/>
        <w:snapToGrid/>
        <w:spacing w:line="360" w:lineRule="auto"/>
        <w:ind w:firstLine="422" w:firstLineChars="200"/>
        <w:rPr>
          <w:rFonts w:ascii="Times New Roman" w:hAnsi="Times New Roman"/>
          <w:b/>
          <w:bCs/>
        </w:rPr>
      </w:pPr>
      <w:bookmarkStart w:id="4" w:name="Text80"/>
      <w:r>
        <w:rPr>
          <w:rFonts w:hint="default" w:ascii="Times New Roman" w:hAnsi="Times New Roman" w:eastAsia="宋体" w:cs="Times New Roman"/>
          <w:b/>
          <w:bCs/>
          <w:kern w:val="2"/>
          <w:sz w:val="21"/>
          <w:szCs w:val="24"/>
          <w:lang w:val="en-US" w:eastAsia="zh-CN" w:bidi="ar-SA"/>
        </w:rPr>
        <w:fldChar w:fldCharType="begin">
          <w:ffData>
            <w:name w:val="Text80"/>
            <w:enabled/>
            <w:calcOnExit w:val="0"/>
            <w:textInput>
              <w:default w:val="（十三）理财份额因质押发生强制赎回的风险：如本理财产品用于在中国民生银行办理贷款业务中提供质押担保，在发生质押贷款本息到期未清偿、或触发质押合同约定的平仓线、本理财产品提前终止、或其他满足行使担保权利的情形下，管理人可能对理财产品对应份额发起强制赎回。极端情况下，可能出现产品存续期间退出的投资者实际收益高于到期退出的投资者的情形。如因质押业务强制赎回理财份额，可能影响理财产品净值。"/>
            </w:textInput>
          </w:ffData>
        </w:fldChar>
      </w:r>
      <w:r>
        <w:rPr>
          <w:rFonts w:hint="default" w:ascii="Times New Roman" w:hAnsi="Times New Roman" w:eastAsia="宋体" w:cs="Times New Roman"/>
          <w:b/>
          <w:bCs/>
          <w:kern w:val="2"/>
          <w:sz w:val="21"/>
          <w:szCs w:val="24"/>
          <w:lang w:val="en-US" w:eastAsia="zh-CN" w:bidi="ar-SA"/>
        </w:rPr>
        <w:instrText xml:space="preserve">FORMTEXT</w:instrText>
      </w:r>
      <w:r>
        <w:rPr>
          <w:rFonts w:hint="default" w:ascii="Times New Roman" w:hAnsi="Times New Roman" w:eastAsia="宋体" w:cs="Times New Roman"/>
          <w:b/>
          <w:bCs/>
          <w:kern w:val="2"/>
          <w:sz w:val="21"/>
          <w:szCs w:val="24"/>
          <w:lang w:val="en-US" w:eastAsia="zh-CN" w:bidi="ar-SA"/>
        </w:rPr>
        <w:fldChar w:fldCharType="separate"/>
      </w:r>
      <w:r>
        <w:rPr>
          <w:rFonts w:hint="default" w:ascii="Times New Roman" w:hAnsi="Times New Roman" w:eastAsia="宋体" w:cs="Times New Roman"/>
          <w:b/>
          <w:bCs/>
          <w:kern w:val="2"/>
          <w:sz w:val="21"/>
          <w:szCs w:val="24"/>
          <w:lang w:val="en-US" w:eastAsia="zh-CN" w:bidi="ar-SA"/>
        </w:rPr>
        <w:t>（十三）理财份额因质押发生强制赎回的风险：如本理财产品用于在中国民生银行办理贷款业务中提供质押担保，在发生质押贷款本息到期未清偿、或触发质押合同约定的平仓线、本理财产品提前终止、或其他满足行使担保权利的情形下，管理人可能对理财产品对应份额发起强制赎回。极端情况下，可能出现产品存续期间退出的投资者实际收益高于到期退出的投资者的情形。如因质押业务强制赎回理财份额，可能影响理财产品净值。</w:t>
      </w:r>
      <w:r>
        <w:rPr>
          <w:rFonts w:hint="default" w:ascii="Times New Roman" w:hAnsi="Times New Roman" w:eastAsia="宋体" w:cs="Times New Roman"/>
          <w:b/>
          <w:bCs/>
          <w:kern w:val="2"/>
          <w:sz w:val="21"/>
          <w:szCs w:val="24"/>
          <w:lang w:val="en-US" w:eastAsia="zh-CN" w:bidi="ar-SA"/>
        </w:rPr>
        <w:fldChar w:fldCharType="end"/>
      </w:r>
      <w:bookmarkEnd w:id="4"/>
    </w:p>
    <w:p>
      <w:pPr>
        <w:adjustRightInd/>
        <w:snapToGrid/>
        <w:spacing w:line="360" w:lineRule="auto"/>
        <w:ind w:firstLine="422" w:firstLineChars="200"/>
        <w:rPr>
          <w:b/>
          <w:bCs/>
        </w:rPr>
      </w:pPr>
    </w:p>
    <w:p>
      <w:pPr>
        <w:spacing w:line="360" w:lineRule="auto"/>
        <w:rPr>
          <w:rFonts w:hint="eastAsia"/>
          <w:b/>
          <w:bCs/>
        </w:rPr>
      </w:pPr>
      <w:r>
        <w:rPr>
          <w:rFonts w:hint="eastAsia"/>
          <w:b/>
          <w:bCs/>
        </w:rPr>
        <w:fldChar w:fldCharType="begin">
          <w:ffData>
            <w:name w:val="Text110"/>
            <w:enabled/>
            <w:calcOnExit w:val="0"/>
            <w:textInput>
              <w:default w:val="三、重要提示"/>
            </w:textInput>
          </w:ffData>
        </w:fldChar>
      </w:r>
      <w:r>
        <w:rPr>
          <w:rFonts w:hint="eastAsia"/>
          <w:b/>
          <w:bCs/>
        </w:rPr>
        <w:instrText xml:space="preserve">FORMTEXT</w:instrText>
      </w:r>
      <w:r>
        <w:rPr>
          <w:rFonts w:hint="eastAsia"/>
          <w:b/>
          <w:bCs/>
        </w:rPr>
        <w:fldChar w:fldCharType="separate"/>
      </w:r>
      <w:r>
        <w:rPr>
          <w:rFonts w:hint="eastAsia"/>
          <w:b/>
          <w:bCs/>
        </w:rPr>
        <w:t>三、重要提示</w:t>
      </w:r>
      <w:r>
        <w:rPr>
          <w:rFonts w:hint="eastAsia"/>
          <w:b/>
          <w:bCs/>
        </w:rPr>
        <w:fldChar w:fldCharType="end"/>
      </w:r>
    </w:p>
    <w:p>
      <w:pPr>
        <w:spacing w:line="360" w:lineRule="auto"/>
        <w:ind w:firstLine="422" w:firstLineChars="200"/>
      </w:pPr>
      <w:r>
        <w:rPr>
          <w:rFonts w:hint="eastAsia"/>
          <w:b/>
          <w:bCs/>
        </w:rPr>
        <w:fldChar w:fldCharType="begin">
          <w:ffData>
            <w:name w:val="Text108"/>
            <w:enabled/>
            <w:calcOnExit w:val="0"/>
            <w:textInput>
              <w:default w:val="本理财产品由民生理财有限责任公司发行并作为管理人，独立履行产品管理职责，管理人将委托中国民生银行股份有限公司作为理财产品的代理销售机构，中国民生银行股份有限公司为管理人的关联方。管理人委托中国民生银行股份有限公司担任产品代理销售机构已履行法律法规和监管规定所规定必须履行的程序。前述关联关系可能导致影响管理人独立决策的潜在风险。投资者已充分知悉前述关联关系，并同意理财产品由中国民生银行股份有限公司代理销售。"/>
            </w:textInput>
          </w:ffData>
        </w:fldChar>
      </w:r>
      <w:r>
        <w:rPr>
          <w:rFonts w:hint="eastAsia"/>
          <w:b/>
          <w:bCs/>
        </w:rPr>
        <w:instrText xml:space="preserve">FORMTEXT</w:instrText>
      </w:r>
      <w:r>
        <w:rPr>
          <w:rFonts w:hint="eastAsia"/>
          <w:b/>
          <w:bCs/>
        </w:rPr>
        <w:fldChar w:fldCharType="separate"/>
      </w:r>
      <w:r>
        <w:rPr>
          <w:rFonts w:hint="eastAsia"/>
          <w:b/>
          <w:bCs/>
        </w:rPr>
        <w:t>本理财产品由民生理财有限责任公司发行并作为管理人，独立履行产品管理职责，管理人</w:t>
      </w:r>
      <w:r>
        <w:rPr>
          <w:rFonts w:hint="eastAsia"/>
          <w:b/>
          <w:bCs/>
          <w:lang w:val="en-US" w:eastAsia="zh-CN"/>
        </w:rPr>
        <w:t>可能涉及</w:t>
      </w:r>
      <w:r>
        <w:rPr>
          <w:rFonts w:hint="eastAsia"/>
          <w:b/>
          <w:bCs/>
        </w:rPr>
        <w:t>委托中国民生银行股份有限公司作为理财产品的代理销售机构，中国民生银行股份有限公司为管理人的关联方。管理人委托中国民生银行股份有限公司担任产品代理销售机构已履行法律法规和监管规定所规定必须履行的程序。前述关联关系可能导致影响管理人独立决策的潜在风险。投资者已充分知悉前述关联关系，并同意理财产品由中国民生银行股份有限公司代理销售。</w:t>
      </w:r>
      <w:r>
        <w:rPr>
          <w:rFonts w:hint="eastAsia"/>
          <w:b/>
          <w:bCs/>
        </w:rPr>
        <w:fldChar w:fldCharType="end"/>
      </w:r>
    </w:p>
    <w:p>
      <w:pPr>
        <w:spacing w:line="360" w:lineRule="auto"/>
      </w:pPr>
    </w:p>
    <w:p>
      <w:pPr>
        <w:spacing w:line="360" w:lineRule="auto"/>
        <w:jc w:val="center"/>
      </w:pPr>
    </w:p>
    <w:p>
      <w:pPr>
        <w:spacing w:line="360" w:lineRule="auto"/>
        <w:jc w:val="center"/>
        <w:rPr>
          <w:rFonts w:eastAsia="黑体"/>
          <w:b/>
          <w:bCs/>
          <w:kern w:val="44"/>
          <w:sz w:val="32"/>
          <w:szCs w:val="32"/>
        </w:rPr>
      </w:pPr>
      <w:r>
        <w:br w:type="page"/>
      </w:r>
      <w:r>
        <w:rPr>
          <w:rFonts w:hint="eastAsia" w:ascii="Times New Roman" w:hAnsi="Times New Roman" w:eastAsia="黑体"/>
          <w:b/>
          <w:bCs/>
          <w:kern w:val="44"/>
          <w:sz w:val="32"/>
          <w:szCs w:val="32"/>
          <w:lang w:val="en-US" w:eastAsia="zh-CN" w:bidi="ar-SA"/>
        </w:rPr>
        <w:fldChar w:fldCharType="begin">
          <w:ffData>
            <w:name w:val="Text7"/>
            <w:enabled/>
            <w:calcOnExit w:val="0"/>
            <w:textInput>
              <w:default w:val="民生理财富竹固收优选14个月封闭46号"/>
            </w:textInput>
          </w:ffData>
        </w:fldChar>
      </w:r>
      <w:r>
        <w:rPr>
          <w:rFonts w:hint="eastAsia" w:ascii="Times New Roman" w:hAnsi="Times New Roman" w:eastAsia="黑体"/>
          <w:b/>
          <w:bCs/>
          <w:kern w:val="44"/>
          <w:sz w:val="32"/>
          <w:szCs w:val="32"/>
          <w:lang w:val="en-US" w:eastAsia="zh-CN" w:bidi="ar-SA"/>
        </w:rPr>
        <w:instrText xml:space="preserve">FORMTEXT</w:instrText>
      </w:r>
      <w:r>
        <w:rPr>
          <w:rFonts w:hint="eastAsia" w:ascii="Times New Roman" w:hAnsi="Times New Roman" w:eastAsia="黑体"/>
          <w:b/>
          <w:bCs/>
          <w:kern w:val="44"/>
          <w:sz w:val="32"/>
          <w:szCs w:val="32"/>
          <w:lang w:val="en-US" w:eastAsia="zh-CN" w:bidi="ar-SA"/>
        </w:rPr>
        <w:fldChar w:fldCharType="separate"/>
      </w:r>
      <w:r>
        <w:rPr>
          <w:rFonts w:hint="eastAsia" w:eastAsia="黑体"/>
          <w:b/>
          <w:bCs/>
          <w:kern w:val="44"/>
          <w:sz w:val="32"/>
          <w:szCs w:val="32"/>
          <w:lang w:val="en-US" w:eastAsia="zh-CN" w:bidi="ar-SA"/>
        </w:rPr>
        <w:t>民生理财富竹固收优选封闭114号</w:t>
      </w:r>
      <w:r>
        <w:rPr>
          <w:rFonts w:hint="eastAsia" w:ascii="Times New Roman" w:hAnsi="Times New Roman" w:eastAsia="黑体"/>
          <w:b/>
          <w:bCs/>
          <w:kern w:val="44"/>
          <w:sz w:val="32"/>
          <w:szCs w:val="32"/>
          <w:lang w:val="en-US" w:eastAsia="zh-CN" w:bidi="ar-SA"/>
        </w:rPr>
        <w:fldChar w:fldCharType="end"/>
      </w:r>
      <w:r>
        <w:rPr>
          <w:rFonts w:eastAsia="黑体"/>
          <w:b/>
          <w:bCs/>
          <w:kern w:val="44"/>
          <w:sz w:val="32"/>
          <w:szCs w:val="32"/>
        </w:rPr>
        <w:t>理财产品</w:t>
      </w:r>
    </w:p>
    <w:p>
      <w:pPr>
        <w:spacing w:line="360" w:lineRule="auto"/>
        <w:jc w:val="center"/>
      </w:pPr>
      <w:r>
        <w:rPr>
          <w:rFonts w:eastAsia="黑体"/>
          <w:b/>
          <w:bCs/>
          <w:kern w:val="44"/>
          <w:sz w:val="32"/>
          <w:szCs w:val="32"/>
        </w:rPr>
        <w:t>投资者风险确认函</w:t>
      </w:r>
    </w:p>
    <w:p>
      <w:pPr>
        <w:spacing w:line="360" w:lineRule="auto"/>
        <w:ind w:firstLine="422" w:firstLineChars="200"/>
        <w:rPr>
          <w:b/>
          <w:bCs/>
        </w:rPr>
      </w:pPr>
      <w:r>
        <w:rPr>
          <w:b/>
          <w:bCs/>
        </w:rPr>
        <w:t>本人/本单位确认已经收到本理财产品的风险揭示书，且已经认真阅读本理财产品完整合同（</w:t>
      </w:r>
      <w:r>
        <w:rPr>
          <w:b/>
          <w:bCs/>
          <w:color w:val="000000"/>
          <w:kern w:val="0"/>
        </w:rPr>
        <w:t>包括</w:t>
      </w:r>
      <w:r>
        <w:rPr>
          <w:b/>
          <w:bCs/>
        </w:rPr>
        <w:t>《风险揭示书》《理财产品说明书》《投资者权益须知》</w:t>
      </w:r>
      <w:r>
        <w:rPr>
          <w:b/>
          <w:bCs/>
          <w:color w:val="000000"/>
          <w:kern w:val="0"/>
        </w:rPr>
        <w:t>《投资协议书》</w:t>
      </w:r>
      <w:r>
        <w:rPr>
          <w:b/>
          <w:bCs/>
        </w:rPr>
        <w:t>《</w:t>
      </w:r>
      <w:r>
        <w:rPr>
          <w:b/>
          <w:bCs/>
          <w:color w:val="000000"/>
          <w:kern w:val="0"/>
        </w:rPr>
        <w:t>代理销售协议书》及与理财产品对应的</w:t>
      </w:r>
      <w:r>
        <w:rPr>
          <w:rFonts w:hint="eastAsia"/>
          <w:b/>
          <w:bCs/>
          <w:color w:val="000000"/>
          <w:kern w:val="0"/>
        </w:rPr>
        <w:t>《</w:t>
      </w:r>
      <w:r>
        <w:rPr>
          <w:b/>
          <w:bCs/>
          <w:color w:val="000000"/>
          <w:kern w:val="0"/>
        </w:rPr>
        <w:t>理财产品公告》</w:t>
      </w:r>
      <w:r>
        <w:rPr>
          <w:b/>
          <w:bCs/>
          <w:color w:val="000000"/>
        </w:rPr>
        <w:t>等相关文件</w:t>
      </w:r>
      <w:r>
        <w:rPr>
          <w:b/>
          <w:bCs/>
        </w:rPr>
        <w:t>），充分了解并清楚知晓本理财产品的风险，</w:t>
      </w:r>
      <w:r>
        <w:rPr>
          <w:rFonts w:hint="eastAsia"/>
          <w:b/>
          <w:bCs/>
        </w:rPr>
        <w:fldChar w:fldCharType="begin">
          <w:ffData>
            <w:name w:val="Text71"/>
            <w:enabled/>
            <w:calcOnExit w:val="0"/>
            <w:textInput/>
          </w:ffData>
        </w:fldChar>
      </w:r>
      <w:r>
        <w:rPr>
          <w:rFonts w:hint="eastAsia"/>
          <w:b/>
          <w:bCs/>
        </w:rPr>
        <w:instrText xml:space="preserve">FORMTEXT</w:instrText>
      </w:r>
      <w:r>
        <w:rPr>
          <w:rFonts w:hint="eastAsia"/>
          <w:b/>
          <w:bCs/>
        </w:rPr>
        <w:fldChar w:fldCharType="separate"/>
      </w:r>
      <w:r>
        <w:rPr>
          <w:rFonts w:hint="eastAsia"/>
          <w:b/>
          <w:bCs/>
        </w:rPr>
        <w:t>知悉本理财产品的管理人与代理销售机构之间存在关联关系，</w:t>
      </w:r>
      <w:r>
        <w:rPr>
          <w:rFonts w:hint="eastAsia"/>
          <w:b/>
          <w:bCs/>
        </w:rPr>
        <w:fldChar w:fldCharType="end"/>
      </w:r>
      <w:r>
        <w:rPr>
          <w:b/>
          <w:bCs/>
        </w:rPr>
        <w:t>愿意承担相关风险，接受本理财产品合同全部约定。</w:t>
      </w:r>
      <w:r>
        <w:rPr>
          <w:b/>
          <w:bCs/>
          <w:kern w:val="0"/>
        </w:rPr>
        <w:t>本人</w:t>
      </w:r>
      <w:r>
        <w:rPr>
          <w:b/>
          <w:bCs/>
          <w:color w:val="000000"/>
          <w:kern w:val="0"/>
        </w:rPr>
        <w:t>/</w:t>
      </w:r>
      <w:r>
        <w:rPr>
          <w:b/>
          <w:bCs/>
        </w:rPr>
        <w:t>本单位</w:t>
      </w:r>
      <w:r>
        <w:rPr>
          <w:b/>
          <w:bCs/>
          <w:kern w:val="0"/>
        </w:rPr>
        <w:t>拟进行的交易完全是本人</w:t>
      </w:r>
      <w:r>
        <w:rPr>
          <w:b/>
          <w:bCs/>
          <w:color w:val="000000"/>
          <w:kern w:val="0"/>
        </w:rPr>
        <w:t>/本单位真实意思的表现</w:t>
      </w:r>
      <w:r>
        <w:rPr>
          <w:b/>
          <w:bCs/>
          <w:kern w:val="0"/>
        </w:rPr>
        <w:t>。</w:t>
      </w:r>
      <w:r>
        <w:rPr>
          <w:b/>
          <w:bCs/>
        </w:rPr>
        <w:t>本人/本单位确认理解投资本理财产品将涉及的所有风险，并将承担且有能力承担由此带来的全部风险。本人/本单位确认本理财产品完全适合本人/本单位的投资目标、投资预期、风险承受能力及投资经验。本人/本单位确认管理人已提请本人/本单位注意对本理财合同各条款，特别是黑体字条款作全面、准确的理解，管理人相关业务人员对于本理财产品合同中有关免除、减轻、限制管理人责任的条款等与投资者有重大利害关系的条款以及管理人单方面拥有某些权利的条款已按照本人/本单位的要求予以说明。</w:t>
      </w:r>
    </w:p>
    <w:p>
      <w:pPr>
        <w:spacing w:line="360" w:lineRule="auto"/>
        <w:ind w:firstLine="422" w:firstLineChars="200"/>
        <w:rPr>
          <w:b/>
          <w:bCs/>
        </w:rPr>
      </w:pPr>
    </w:p>
    <w:p>
      <w:pPr>
        <w:spacing w:line="360" w:lineRule="auto"/>
        <w:ind w:firstLine="422" w:firstLineChars="200"/>
        <w:rPr>
          <w:b/>
          <w:bCs/>
        </w:rPr>
      </w:pPr>
      <w:r>
        <w:rPr>
          <w:b/>
          <w:bCs/>
        </w:rPr>
        <w:t>通过风险承受能力评估，本人/本单位的风险承受能力等级为</w:t>
      </w:r>
      <w:r>
        <w:rPr>
          <w:b/>
          <w:bCs/>
          <w:u w:val="single"/>
        </w:rPr>
        <w:t xml:space="preserve">                 </w:t>
      </w:r>
      <w:r>
        <w:rPr>
          <w:b/>
          <w:bCs/>
        </w:rPr>
        <w:t>（仅由投资者亲自填写）。如影响风险承受能力的因素发生变化，本人/本单位将及时完成风险承受能力评估。</w:t>
      </w:r>
    </w:p>
    <w:p>
      <w:pPr>
        <w:autoSpaceDE w:val="0"/>
        <w:autoSpaceDN w:val="0"/>
        <w:adjustRightInd w:val="0"/>
        <w:spacing w:line="360" w:lineRule="auto"/>
        <w:jc w:val="left"/>
        <w:rPr>
          <w:rFonts w:eastAsia="黑体"/>
          <w:b/>
          <w:kern w:val="0"/>
          <w:sz w:val="24"/>
        </w:rPr>
      </w:pPr>
    </w:p>
    <w:p>
      <w:pPr>
        <w:spacing w:line="360" w:lineRule="auto"/>
        <w:jc w:val="center"/>
        <w:rPr>
          <w:rFonts w:eastAsia="黑体"/>
          <w:b/>
          <w:bCs/>
          <w:kern w:val="44"/>
          <w:sz w:val="32"/>
          <w:szCs w:val="32"/>
        </w:rPr>
      </w:pPr>
      <w:r>
        <w:rPr>
          <w:rFonts w:eastAsia="黑体"/>
          <w:b/>
          <w:bCs/>
          <w:kern w:val="44"/>
          <w:sz w:val="32"/>
          <w:szCs w:val="32"/>
        </w:rPr>
        <w:t>本人/本单位已经阅读风险揭示，愿意承担投资风险。</w:t>
      </w:r>
    </w:p>
    <w:p>
      <w:pPr>
        <w:autoSpaceDE w:val="0"/>
        <w:autoSpaceDN w:val="0"/>
        <w:adjustRightInd w:val="0"/>
        <w:spacing w:line="360" w:lineRule="auto"/>
        <w:rPr>
          <w:b/>
          <w:kern w:val="0"/>
          <w:u w:val="single"/>
        </w:rPr>
      </w:pPr>
    </w:p>
    <w:p>
      <w:pPr>
        <w:autoSpaceDE w:val="0"/>
        <w:autoSpaceDN w:val="0"/>
        <w:adjustRightInd w:val="0"/>
        <w:spacing w:line="360" w:lineRule="auto"/>
        <w:rPr>
          <w:b/>
          <w:kern w:val="0"/>
          <w:u w:val="single"/>
        </w:rP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184785</wp:posOffset>
                </wp:positionV>
                <wp:extent cx="52387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387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5pt;margin-top:14.55pt;height:0.05pt;width:412.5pt;z-index:251660288;mso-width-relative:page;mso-height-relative:page;" filled="f" stroked="t" coordsize="21600,21600" o:gfxdata="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rhj19YAAAAIAQAADwAAAAAAAAABACAAAAAiAAAAZHJzL2Rvd25yZXYueG1s&#10;UEsBAhQAFAAAAAgAh07iQLSKA3T6AQAA9AMAAA4AAAAAAAAAAQAgAAAAJQEAAGRycy9lMm9Eb2Mu&#10;eG1sUEsFBgAAAAAGAAYAWQEAAJEFAAAAAA==&#10;">
                <v:fill on="f" focussize="0,0"/>
                <v:stroke color="#000000" joinstyle="round"/>
                <v:imagedata o:title=""/>
                <o:lock v:ext="edit" aspectratio="f"/>
              </v:line>
            </w:pict>
          </mc:Fallback>
        </mc:AlternateContent>
      </w:r>
    </w:p>
    <w:p>
      <w:pPr>
        <w:autoSpaceDE w:val="0"/>
        <w:autoSpaceDN w:val="0"/>
        <w:adjustRightInd w:val="0"/>
        <w:spacing w:line="360" w:lineRule="auto"/>
        <w:rPr>
          <w:b/>
          <w:kern w:val="0"/>
        </w:rPr>
      </w:pPr>
      <w:r>
        <w:rPr>
          <w:b/>
          <w:kern w:val="0"/>
        </w:rPr>
        <w:t>（投资者手写抄录上述黑体字）</w:t>
      </w:r>
    </w:p>
    <w:p>
      <w:pPr>
        <w:autoSpaceDE w:val="0"/>
        <w:autoSpaceDN w:val="0"/>
        <w:adjustRightInd w:val="0"/>
        <w:spacing w:line="360" w:lineRule="auto"/>
        <w:rPr>
          <w:b/>
          <w:kern w:val="0"/>
        </w:rPr>
      </w:pPr>
    </w:p>
    <w:p>
      <w:pPr>
        <w:spacing w:line="360" w:lineRule="auto"/>
        <w:ind w:firstLine="422" w:firstLineChars="200"/>
        <w:rPr>
          <w:b/>
          <w:bCs/>
        </w:rPr>
      </w:pPr>
      <w:r>
        <w:rPr>
          <w:b/>
          <w:bCs/>
        </w:rPr>
        <w:t>理财产品合同系投资者通过管理人或代理销售机构提供的电子渠道签订的，管理人、代理销售机构、投资者通过电子渠道进行的任何形式的确认，包括但不限于数字证书、密码、点击确认等形式均视为《中华人民共和国电子签名法》第十三条规定的可靠的电子签名，此处不需要手写抄录。</w:t>
      </w:r>
    </w:p>
    <w:p>
      <w:pPr>
        <w:spacing w:line="360" w:lineRule="auto"/>
        <w:ind w:firstLine="420" w:firstLineChars="200"/>
      </w:pPr>
      <w:r>
        <w:t>个人投资者（签名）：</w:t>
      </w:r>
    </w:p>
    <w:p>
      <w:pPr>
        <w:spacing w:line="360" w:lineRule="auto"/>
        <w:ind w:firstLine="420" w:firstLineChars="200"/>
      </w:pPr>
    </w:p>
    <w:p>
      <w:pPr>
        <w:spacing w:line="360" w:lineRule="auto"/>
        <w:ind w:firstLine="420" w:firstLineChars="200"/>
      </w:pPr>
      <w:r>
        <w:t>日期：</w:t>
      </w:r>
    </w:p>
    <w:p>
      <w:pPr>
        <w:spacing w:line="360" w:lineRule="auto"/>
      </w:pPr>
    </w:p>
    <w:p>
      <w:pPr>
        <w:spacing w:line="360" w:lineRule="auto"/>
        <w:ind w:firstLine="420" w:firstLineChars="200"/>
      </w:pPr>
      <w:r>
        <w:t>机构投资者（盖章）：</w:t>
      </w:r>
    </w:p>
    <w:p>
      <w:pPr>
        <w:spacing w:line="360" w:lineRule="auto"/>
        <w:ind w:firstLine="420" w:firstLineChars="200"/>
      </w:pPr>
      <w:r>
        <w:t xml:space="preserve">机构投资者法定代表人或授权代表（签名或盖章）： </w:t>
      </w:r>
    </w:p>
    <w:p>
      <w:pPr>
        <w:spacing w:line="360" w:lineRule="auto"/>
        <w:ind w:firstLine="420" w:firstLineChars="200"/>
      </w:pPr>
    </w:p>
    <w:p>
      <w:pPr>
        <w:spacing w:line="360" w:lineRule="auto"/>
        <w:ind w:firstLine="420" w:firstLineChars="200"/>
      </w:pPr>
      <w:r>
        <w:t xml:space="preserve">日期： </w:t>
      </w:r>
    </w:p>
    <w:p>
      <w:pPr>
        <w:pStyle w:val="2"/>
      </w:pPr>
      <w:bookmarkStart w:id="5" w:name="_GoBack"/>
      <w:bookmarkEnd w:id="5"/>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078"/>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46</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utoSpaceDE w:val="0"/>
      <w:autoSpaceDN w:val="0"/>
      <w:adjustRightInd w:val="0"/>
      <w:spacing w:line="276" w:lineRule="auto"/>
      <w:rPr>
        <w:rFonts w:hint="eastAsia" w:ascii="黑体" w:hAnsi="黑体" w:eastAsia="黑体" w:cs="黑体"/>
        <w:b/>
        <w:iCs/>
        <w:sz w:val="28"/>
        <w:szCs w:val="28"/>
      </w:rPr>
    </w:pPr>
    <w:r>
      <w:rPr>
        <w:rFonts w:hint="eastAsia" w:ascii="黑体" w:hAnsi="黑体" w:eastAsia="黑体" w:cs="黑体"/>
        <w:b/>
        <w:iCs/>
        <w:color w:val="000000"/>
        <w:kern w:val="0"/>
        <w:sz w:val="28"/>
        <w:szCs w:val="28"/>
      </w:rPr>
      <w:t xml:space="preserve">理财非存款、产品有风险、投资须谨慎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B600D"/>
    <w:multiLevelType w:val="multilevel"/>
    <w:tmpl w:val="46EB600D"/>
    <w:lvl w:ilvl="0" w:tentative="0">
      <w:start w:val="1"/>
      <w:numFmt w:val="decimal"/>
      <w:pStyle w:val="3"/>
      <w:lvlText w:val="%1."/>
      <w:lvlJc w:val="left"/>
      <w:pPr>
        <w:ind w:left="360" w:hanging="360"/>
      </w:pPr>
      <w:rPr>
        <w:rFonts w:hint="eastAsia"/>
        <w:b/>
      </w:rPr>
    </w:lvl>
    <w:lvl w:ilvl="1" w:tentative="0">
      <w:start w:val="3"/>
      <w:numFmt w:val="decimal"/>
      <w:lvlText w:val="%1.%2"/>
      <w:lvlJc w:val="left"/>
      <w:pPr>
        <w:ind w:left="650" w:hanging="444"/>
      </w:pPr>
      <w:rPr>
        <w:rFonts w:hint="eastAsia"/>
      </w:rPr>
    </w:lvl>
    <w:lvl w:ilvl="2" w:tentative="0">
      <w:start w:val="1"/>
      <w:numFmt w:val="decimal"/>
      <w:lvlText w:val="%1.%2.%3"/>
      <w:lvlJc w:val="left"/>
      <w:pPr>
        <w:ind w:left="1132" w:hanging="720"/>
      </w:pPr>
      <w:rPr>
        <w:rFonts w:hint="eastAsia"/>
        <w:b/>
        <w:bCs/>
      </w:rPr>
    </w:lvl>
    <w:lvl w:ilvl="3" w:tentative="0">
      <w:start w:val="1"/>
      <w:numFmt w:val="decimal"/>
      <w:lvlText w:val="%1.%2.%3.%4"/>
      <w:lvlJc w:val="left"/>
      <w:pPr>
        <w:ind w:left="1698" w:hanging="1080"/>
      </w:pPr>
      <w:rPr>
        <w:rFonts w:hint="eastAsia"/>
      </w:rPr>
    </w:lvl>
    <w:lvl w:ilvl="4" w:tentative="0">
      <w:start w:val="1"/>
      <w:numFmt w:val="decimal"/>
      <w:lvlText w:val="%1.%2.%3.%4.%5"/>
      <w:lvlJc w:val="left"/>
      <w:pPr>
        <w:ind w:left="1904" w:hanging="1080"/>
      </w:pPr>
      <w:rPr>
        <w:rFonts w:hint="eastAsia"/>
      </w:rPr>
    </w:lvl>
    <w:lvl w:ilvl="5" w:tentative="0">
      <w:start w:val="1"/>
      <w:numFmt w:val="decimal"/>
      <w:lvlText w:val="%1.%2.%3.%4.%5.%6"/>
      <w:lvlJc w:val="left"/>
      <w:pPr>
        <w:ind w:left="2470" w:hanging="1440"/>
      </w:pPr>
      <w:rPr>
        <w:rFonts w:hint="eastAsia"/>
      </w:rPr>
    </w:lvl>
    <w:lvl w:ilvl="6" w:tentative="0">
      <w:start w:val="1"/>
      <w:numFmt w:val="decimal"/>
      <w:lvlText w:val="%1.%2.%3.%4.%5.%6.%7"/>
      <w:lvlJc w:val="left"/>
      <w:pPr>
        <w:ind w:left="3036" w:hanging="1798"/>
      </w:pPr>
      <w:rPr>
        <w:rFonts w:hint="eastAsia"/>
      </w:rPr>
    </w:lvl>
    <w:lvl w:ilvl="7" w:tentative="0">
      <w:start w:val="1"/>
      <w:numFmt w:val="decimal"/>
      <w:lvlText w:val="%1.%2.%3.%4.%5.%6.%7.%8"/>
      <w:lvlJc w:val="left"/>
      <w:pPr>
        <w:ind w:left="3242" w:hanging="1800"/>
      </w:pPr>
      <w:rPr>
        <w:rFonts w:hint="eastAsia"/>
      </w:rPr>
    </w:lvl>
    <w:lvl w:ilvl="8" w:tentative="0">
      <w:start w:val="1"/>
      <w:numFmt w:val="decimal"/>
      <w:lvlText w:val="%1.%2.%3.%4.%5.%6.%7.%8.%9"/>
      <w:lvlJc w:val="left"/>
      <w:pPr>
        <w:ind w:left="3808" w:hanging="2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255"/>
    <w:rsid w:val="00071403"/>
    <w:rsid w:val="000A795C"/>
    <w:rsid w:val="000C6E5B"/>
    <w:rsid w:val="00105783"/>
    <w:rsid w:val="0010679C"/>
    <w:rsid w:val="001161BE"/>
    <w:rsid w:val="00171C05"/>
    <w:rsid w:val="00174269"/>
    <w:rsid w:val="001842C0"/>
    <w:rsid w:val="00192D96"/>
    <w:rsid w:val="001B4623"/>
    <w:rsid w:val="001C51BD"/>
    <w:rsid w:val="001C5A5B"/>
    <w:rsid w:val="001D70F5"/>
    <w:rsid w:val="001D7686"/>
    <w:rsid w:val="001E52EF"/>
    <w:rsid w:val="00212545"/>
    <w:rsid w:val="00225197"/>
    <w:rsid w:val="00236932"/>
    <w:rsid w:val="002439DA"/>
    <w:rsid w:val="002446EF"/>
    <w:rsid w:val="0026729A"/>
    <w:rsid w:val="00270D2D"/>
    <w:rsid w:val="00287A9D"/>
    <w:rsid w:val="0029647E"/>
    <w:rsid w:val="002A7D81"/>
    <w:rsid w:val="002C0D35"/>
    <w:rsid w:val="003012D4"/>
    <w:rsid w:val="00330D62"/>
    <w:rsid w:val="00360DE5"/>
    <w:rsid w:val="00387684"/>
    <w:rsid w:val="003B4FFD"/>
    <w:rsid w:val="003E1F01"/>
    <w:rsid w:val="004060EE"/>
    <w:rsid w:val="004179F4"/>
    <w:rsid w:val="00423120"/>
    <w:rsid w:val="00472420"/>
    <w:rsid w:val="004766C2"/>
    <w:rsid w:val="00485267"/>
    <w:rsid w:val="00486D86"/>
    <w:rsid w:val="00493A5B"/>
    <w:rsid w:val="004E6380"/>
    <w:rsid w:val="00516DC1"/>
    <w:rsid w:val="00534512"/>
    <w:rsid w:val="00553F2B"/>
    <w:rsid w:val="005B377F"/>
    <w:rsid w:val="005C005E"/>
    <w:rsid w:val="005E0EEF"/>
    <w:rsid w:val="005E5839"/>
    <w:rsid w:val="00606880"/>
    <w:rsid w:val="00620452"/>
    <w:rsid w:val="00632AA1"/>
    <w:rsid w:val="00656285"/>
    <w:rsid w:val="006635AD"/>
    <w:rsid w:val="00665866"/>
    <w:rsid w:val="00676313"/>
    <w:rsid w:val="006A48D6"/>
    <w:rsid w:val="006F6116"/>
    <w:rsid w:val="007143E0"/>
    <w:rsid w:val="007351D2"/>
    <w:rsid w:val="00754FE7"/>
    <w:rsid w:val="00756DD8"/>
    <w:rsid w:val="007667AD"/>
    <w:rsid w:val="00786CE0"/>
    <w:rsid w:val="00816D6B"/>
    <w:rsid w:val="00851BA6"/>
    <w:rsid w:val="00891225"/>
    <w:rsid w:val="008E0DEC"/>
    <w:rsid w:val="00913805"/>
    <w:rsid w:val="00983379"/>
    <w:rsid w:val="009B098E"/>
    <w:rsid w:val="009C32A1"/>
    <w:rsid w:val="009C6B2E"/>
    <w:rsid w:val="009D55CB"/>
    <w:rsid w:val="009E01F8"/>
    <w:rsid w:val="00A22F0B"/>
    <w:rsid w:val="00A46ABA"/>
    <w:rsid w:val="00A62B45"/>
    <w:rsid w:val="00A73576"/>
    <w:rsid w:val="00A87C0B"/>
    <w:rsid w:val="00AD52D1"/>
    <w:rsid w:val="00AF0611"/>
    <w:rsid w:val="00B21112"/>
    <w:rsid w:val="00B475D8"/>
    <w:rsid w:val="00B57958"/>
    <w:rsid w:val="00BA595F"/>
    <w:rsid w:val="00BC6B61"/>
    <w:rsid w:val="00C22DCC"/>
    <w:rsid w:val="00C426BB"/>
    <w:rsid w:val="00C53AA7"/>
    <w:rsid w:val="00C91FCE"/>
    <w:rsid w:val="00CA7244"/>
    <w:rsid w:val="00CB14C4"/>
    <w:rsid w:val="00CB66F1"/>
    <w:rsid w:val="00CC2CA3"/>
    <w:rsid w:val="00CD5E07"/>
    <w:rsid w:val="00CD6A24"/>
    <w:rsid w:val="00CF4005"/>
    <w:rsid w:val="00D06B6B"/>
    <w:rsid w:val="00D2106D"/>
    <w:rsid w:val="00D42192"/>
    <w:rsid w:val="00D96461"/>
    <w:rsid w:val="00DE3339"/>
    <w:rsid w:val="00E107B7"/>
    <w:rsid w:val="00E276D6"/>
    <w:rsid w:val="00E41211"/>
    <w:rsid w:val="00E41E1A"/>
    <w:rsid w:val="00E5254A"/>
    <w:rsid w:val="00E859EA"/>
    <w:rsid w:val="00E865D3"/>
    <w:rsid w:val="00EA7ADB"/>
    <w:rsid w:val="00EC66F8"/>
    <w:rsid w:val="00F35C41"/>
    <w:rsid w:val="00F427B2"/>
    <w:rsid w:val="00F458F1"/>
    <w:rsid w:val="00FC027A"/>
    <w:rsid w:val="00FC0F34"/>
    <w:rsid w:val="00FC25F5"/>
    <w:rsid w:val="024E0B41"/>
    <w:rsid w:val="034F4C34"/>
    <w:rsid w:val="036F3C68"/>
    <w:rsid w:val="0461748C"/>
    <w:rsid w:val="047651C1"/>
    <w:rsid w:val="05422DFC"/>
    <w:rsid w:val="066E564F"/>
    <w:rsid w:val="07CA3341"/>
    <w:rsid w:val="08F2486C"/>
    <w:rsid w:val="08F81759"/>
    <w:rsid w:val="09927427"/>
    <w:rsid w:val="099346C1"/>
    <w:rsid w:val="0B8A2FD3"/>
    <w:rsid w:val="0B8C31D4"/>
    <w:rsid w:val="0BF618C3"/>
    <w:rsid w:val="0C506FAC"/>
    <w:rsid w:val="0C7646FC"/>
    <w:rsid w:val="0D5B6721"/>
    <w:rsid w:val="0D7DDB8F"/>
    <w:rsid w:val="0E6C610C"/>
    <w:rsid w:val="0EB636CE"/>
    <w:rsid w:val="0F656151"/>
    <w:rsid w:val="10FD2F18"/>
    <w:rsid w:val="11633F66"/>
    <w:rsid w:val="11E80A7B"/>
    <w:rsid w:val="124D49FA"/>
    <w:rsid w:val="1263794D"/>
    <w:rsid w:val="1287222C"/>
    <w:rsid w:val="130676CF"/>
    <w:rsid w:val="1346055C"/>
    <w:rsid w:val="1420493B"/>
    <w:rsid w:val="14343500"/>
    <w:rsid w:val="14852BB2"/>
    <w:rsid w:val="14DD6B17"/>
    <w:rsid w:val="156B053F"/>
    <w:rsid w:val="15CF272C"/>
    <w:rsid w:val="15DD395B"/>
    <w:rsid w:val="161203E6"/>
    <w:rsid w:val="17FE48A3"/>
    <w:rsid w:val="18307876"/>
    <w:rsid w:val="18E830E4"/>
    <w:rsid w:val="19DA6FC4"/>
    <w:rsid w:val="1B302AF0"/>
    <w:rsid w:val="1B7802A0"/>
    <w:rsid w:val="1B9B7FA2"/>
    <w:rsid w:val="1BBB7A8F"/>
    <w:rsid w:val="1D9802C3"/>
    <w:rsid w:val="1D9B45B8"/>
    <w:rsid w:val="1E020EB9"/>
    <w:rsid w:val="1E7F13F4"/>
    <w:rsid w:val="1EE158C8"/>
    <w:rsid w:val="1EE80A22"/>
    <w:rsid w:val="1EF4295F"/>
    <w:rsid w:val="1FB6136B"/>
    <w:rsid w:val="1FB66715"/>
    <w:rsid w:val="20006BE5"/>
    <w:rsid w:val="20315814"/>
    <w:rsid w:val="214966D5"/>
    <w:rsid w:val="22646C8E"/>
    <w:rsid w:val="245A665D"/>
    <w:rsid w:val="25A41BCE"/>
    <w:rsid w:val="261D74CF"/>
    <w:rsid w:val="268075A9"/>
    <w:rsid w:val="26BD763C"/>
    <w:rsid w:val="26ED1B68"/>
    <w:rsid w:val="27C414D8"/>
    <w:rsid w:val="27F7F21A"/>
    <w:rsid w:val="29357A89"/>
    <w:rsid w:val="2B01017B"/>
    <w:rsid w:val="2E4E0CE7"/>
    <w:rsid w:val="2EDC1CF2"/>
    <w:rsid w:val="2EFEF0D5"/>
    <w:rsid w:val="2F580EE7"/>
    <w:rsid w:val="2FE94A08"/>
    <w:rsid w:val="30EC60AE"/>
    <w:rsid w:val="312339FD"/>
    <w:rsid w:val="31311C77"/>
    <w:rsid w:val="32ED4CAC"/>
    <w:rsid w:val="335DD08B"/>
    <w:rsid w:val="33D74476"/>
    <w:rsid w:val="33F914B2"/>
    <w:rsid w:val="34164CE7"/>
    <w:rsid w:val="343354C8"/>
    <w:rsid w:val="3552054D"/>
    <w:rsid w:val="3583409C"/>
    <w:rsid w:val="35E240BB"/>
    <w:rsid w:val="35ED3E99"/>
    <w:rsid w:val="373D533E"/>
    <w:rsid w:val="37DFC97C"/>
    <w:rsid w:val="3836078F"/>
    <w:rsid w:val="386A0C0E"/>
    <w:rsid w:val="3A295D78"/>
    <w:rsid w:val="3A433A44"/>
    <w:rsid w:val="3AB5080F"/>
    <w:rsid w:val="3BA20378"/>
    <w:rsid w:val="3BBEA2BE"/>
    <w:rsid w:val="3BCA37C5"/>
    <w:rsid w:val="3BCFA794"/>
    <w:rsid w:val="3DAB1B37"/>
    <w:rsid w:val="3EB81A02"/>
    <w:rsid w:val="3F447CAB"/>
    <w:rsid w:val="3F7B0804"/>
    <w:rsid w:val="3FBB9BC3"/>
    <w:rsid w:val="3FC424FE"/>
    <w:rsid w:val="40060C0A"/>
    <w:rsid w:val="416E3087"/>
    <w:rsid w:val="41767DC5"/>
    <w:rsid w:val="423816C1"/>
    <w:rsid w:val="426F531D"/>
    <w:rsid w:val="429A5A29"/>
    <w:rsid w:val="432132D4"/>
    <w:rsid w:val="434E6062"/>
    <w:rsid w:val="43AD4380"/>
    <w:rsid w:val="443051C4"/>
    <w:rsid w:val="447659E0"/>
    <w:rsid w:val="44B951D0"/>
    <w:rsid w:val="45324879"/>
    <w:rsid w:val="45CA500D"/>
    <w:rsid w:val="45E42797"/>
    <w:rsid w:val="464A6528"/>
    <w:rsid w:val="476511B9"/>
    <w:rsid w:val="47B16CDB"/>
    <w:rsid w:val="47E351A2"/>
    <w:rsid w:val="47F80749"/>
    <w:rsid w:val="47FF469B"/>
    <w:rsid w:val="48CD3D6B"/>
    <w:rsid w:val="498B7ADF"/>
    <w:rsid w:val="498E577C"/>
    <w:rsid w:val="49A27D58"/>
    <w:rsid w:val="4AAC53FB"/>
    <w:rsid w:val="4AB50890"/>
    <w:rsid w:val="4B165C1E"/>
    <w:rsid w:val="4BD7107A"/>
    <w:rsid w:val="4CBE1552"/>
    <w:rsid w:val="4D3B4EC4"/>
    <w:rsid w:val="4D655D09"/>
    <w:rsid w:val="4DF036EE"/>
    <w:rsid w:val="4FB56D8B"/>
    <w:rsid w:val="50416B00"/>
    <w:rsid w:val="51E90312"/>
    <w:rsid w:val="51ED01DA"/>
    <w:rsid w:val="528A1E62"/>
    <w:rsid w:val="53A10A76"/>
    <w:rsid w:val="54546513"/>
    <w:rsid w:val="547F65E1"/>
    <w:rsid w:val="55491F4F"/>
    <w:rsid w:val="56C854F3"/>
    <w:rsid w:val="573112DB"/>
    <w:rsid w:val="57B96401"/>
    <w:rsid w:val="57EB51C7"/>
    <w:rsid w:val="57EC045E"/>
    <w:rsid w:val="58455244"/>
    <w:rsid w:val="595B06A1"/>
    <w:rsid w:val="5A340BD8"/>
    <w:rsid w:val="5AC45B8C"/>
    <w:rsid w:val="5AEE6C41"/>
    <w:rsid w:val="5B3B3931"/>
    <w:rsid w:val="5B8C4299"/>
    <w:rsid w:val="5C556522"/>
    <w:rsid w:val="5CFE6312"/>
    <w:rsid w:val="5D5809A5"/>
    <w:rsid w:val="5EA76F2A"/>
    <w:rsid w:val="5EEA609A"/>
    <w:rsid w:val="61BF38F1"/>
    <w:rsid w:val="61C06C30"/>
    <w:rsid w:val="630F4CA3"/>
    <w:rsid w:val="635C53DE"/>
    <w:rsid w:val="63E53166"/>
    <w:rsid w:val="64720777"/>
    <w:rsid w:val="64A30997"/>
    <w:rsid w:val="65FDE23B"/>
    <w:rsid w:val="661309ED"/>
    <w:rsid w:val="669900A5"/>
    <w:rsid w:val="66D718D1"/>
    <w:rsid w:val="67DC2BB3"/>
    <w:rsid w:val="680B7F45"/>
    <w:rsid w:val="69AD425C"/>
    <w:rsid w:val="6C77D9E8"/>
    <w:rsid w:val="6C852AB9"/>
    <w:rsid w:val="6D443964"/>
    <w:rsid w:val="6D7C36BA"/>
    <w:rsid w:val="6E7A37DD"/>
    <w:rsid w:val="6F846AD7"/>
    <w:rsid w:val="701E03B0"/>
    <w:rsid w:val="712829A5"/>
    <w:rsid w:val="72B71782"/>
    <w:rsid w:val="72D66B14"/>
    <w:rsid w:val="733F1EE9"/>
    <w:rsid w:val="735A5A1C"/>
    <w:rsid w:val="73990578"/>
    <w:rsid w:val="73F746E7"/>
    <w:rsid w:val="74A71ED3"/>
    <w:rsid w:val="74AA2A05"/>
    <w:rsid w:val="74BD60BC"/>
    <w:rsid w:val="765505C0"/>
    <w:rsid w:val="77622411"/>
    <w:rsid w:val="77DE99A2"/>
    <w:rsid w:val="77FF79B4"/>
    <w:rsid w:val="787F5431"/>
    <w:rsid w:val="789C20D9"/>
    <w:rsid w:val="7A2F55A2"/>
    <w:rsid w:val="7A3C5534"/>
    <w:rsid w:val="7AF83242"/>
    <w:rsid w:val="7BC40A5F"/>
    <w:rsid w:val="7BFD3C71"/>
    <w:rsid w:val="7CCD1213"/>
    <w:rsid w:val="7D0B25B3"/>
    <w:rsid w:val="7DDD38BE"/>
    <w:rsid w:val="7DEA41A0"/>
    <w:rsid w:val="7DF87FFF"/>
    <w:rsid w:val="7E214027"/>
    <w:rsid w:val="7E5E5F47"/>
    <w:rsid w:val="7E772AD8"/>
    <w:rsid w:val="7ECDAD9D"/>
    <w:rsid w:val="7F540060"/>
    <w:rsid w:val="7F7F1F9A"/>
    <w:rsid w:val="7FDB1106"/>
    <w:rsid w:val="9BFFFAFB"/>
    <w:rsid w:val="9F9EF9CC"/>
    <w:rsid w:val="ABBF03AD"/>
    <w:rsid w:val="ABFFBEDC"/>
    <w:rsid w:val="BDFD73F4"/>
    <w:rsid w:val="BFCF937B"/>
    <w:rsid w:val="BFDD2DB4"/>
    <w:rsid w:val="BFF337B2"/>
    <w:rsid w:val="C39BC071"/>
    <w:rsid w:val="CFEECC09"/>
    <w:rsid w:val="D7DA2155"/>
    <w:rsid w:val="DFF067A0"/>
    <w:rsid w:val="EBBE5E59"/>
    <w:rsid w:val="EFF77345"/>
    <w:rsid w:val="EFFEEE59"/>
    <w:rsid w:val="F3B7CEB5"/>
    <w:rsid w:val="F3FF5AC6"/>
    <w:rsid w:val="F5FF52EB"/>
    <w:rsid w:val="F7EB98DB"/>
    <w:rsid w:val="F87A7E16"/>
    <w:rsid w:val="FAFFEFC4"/>
    <w:rsid w:val="FBB73ACC"/>
    <w:rsid w:val="FBF4C8CB"/>
    <w:rsid w:val="FDFE9C6A"/>
    <w:rsid w:val="FEBE29EC"/>
    <w:rsid w:val="FFDAE421"/>
    <w:rsid w:val="FFFD323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spacing w:before="360" w:after="240" w:line="360" w:lineRule="auto"/>
      <w:outlineLvl w:val="0"/>
    </w:pPr>
    <w:rPr>
      <w:rFonts w:ascii="Times New Roman" w:hAnsi="Times New Roman" w:cs="Times New Roman"/>
      <w:b/>
    </w:rPr>
  </w:style>
  <w:style w:type="paragraph" w:styleId="4">
    <w:name w:val="heading 2"/>
    <w:basedOn w:val="1"/>
    <w:next w:val="1"/>
    <w:qFormat/>
    <w:uiPriority w:val="9"/>
    <w:pPr>
      <w:keepNext/>
      <w:keepLines/>
      <w:jc w:val="center"/>
      <w:outlineLvl w:val="1"/>
    </w:pPr>
    <w:rPr>
      <w:rFonts w:ascii="Times New Roman" w:hAnsi="Times New Roman" w:cs="Times New Roman"/>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annotation text"/>
    <w:basedOn w:val="1"/>
    <w:qFormat/>
    <w:uiPriority w:val="0"/>
    <w:pPr>
      <w:jc w:val="left"/>
    </w:pPr>
  </w:style>
  <w:style w:type="paragraph" w:styleId="6">
    <w:name w:val="Body Text"/>
    <w:basedOn w:val="1"/>
    <w:qFormat/>
    <w:uiPriority w:val="0"/>
    <w:pPr>
      <w:spacing w:after="12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0"/>
    <w:rPr>
      <w:sz w:val="21"/>
    </w:rPr>
  </w:style>
  <w:style w:type="character" w:customStyle="1" w:styleId="12">
    <w:name w:val="页眉 字符"/>
    <w:link w:val="8"/>
    <w:qFormat/>
    <w:uiPriority w:val="0"/>
    <w:rPr>
      <w:rFonts w:ascii="Times New Roman" w:hAnsi="Times New Roman"/>
      <w:kern w:val="2"/>
      <w:sz w:val="18"/>
      <w:szCs w:val="18"/>
    </w:rPr>
  </w:style>
  <w:style w:type="paragraph" w:customStyle="1" w:styleId="13">
    <w:name w:val="List Paragraph"/>
    <w:basedOn w:val="1"/>
    <w:qFormat/>
    <w:uiPriority w:val="99"/>
    <w:pPr>
      <w:ind w:firstLine="420" w:firstLineChars="200"/>
    </w:pPr>
  </w:style>
  <w:style w:type="paragraph" w:customStyle="1" w:styleId="14">
    <w:name w:val="_Style 13"/>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5399</Words>
  <Characters>30776</Characters>
  <Lines>256</Lines>
  <Paragraphs>72</Paragraphs>
  <TotalTime>43</TotalTime>
  <ScaleCrop>false</ScaleCrop>
  <LinksUpToDate>false</LinksUpToDate>
  <CharactersWithSpaces>36103</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2022-08-05T07:45:00Z</dcterms:created>
  <dc:creator>林文艳</dc:creator>
  <cp:lastModifiedBy>李梦骁</cp:lastModifiedBy>
  <dcterms:modified xsi:type="dcterms:W3CDTF">2025-10-31T06:15:44Z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CVWM06BW7R9A0TTGRPRNKL0C7NM0OYVREJ06BJD7XFB8TFLTN0BJYCJGFSTTPCRRXUMX9OLKZIWD8HNJRJFTQFFW89EMWHLBAEOOMHB309187CAF8CC256ACAA047884E42284DE</vt:lpwstr>
  </property>
  <property fmtid="{D5CDD505-2E9C-101B-9397-08002B2CF9AE}" pid="4" name="_KSOProductBuildSID">
    <vt:lpwstr>21B032B788D589DD1096ACEF8B201DB3</vt:lpwstr>
  </property>
  <property fmtid="{D5CDD505-2E9C-101B-9397-08002B2CF9AE}" pid="5" name="ICV">
    <vt:lpwstr>3954532022350C3CBF524968C9DD3F4C_43</vt:lpwstr>
  </property>
</Properties>
</file>