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杭银理财投资者权益须知</w:t>
      </w:r>
    </w:p>
    <w:p>
      <w:pPr>
        <w:jc w:val="center"/>
        <w:rPr>
          <w:rFonts w:hint="eastAsia" w:ascii="宋体" w:hAnsi="宋体" w:cs="宋体"/>
          <w:b/>
          <w:bCs/>
          <w:color w:val="000000"/>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center"/>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理财非存款、产品有风险、投资须谨慎</w:t>
      </w:r>
    </w:p>
    <w:p>
      <w:pPr>
        <w:spacing w:line="360" w:lineRule="auto"/>
        <w:rPr>
          <w:rFonts w:hint="eastAsia" w:ascii="宋体" w:hAnsi="宋体" w:cs="宋体"/>
          <w:kern w:val="0"/>
          <w:sz w:val="24"/>
          <w:highlight w:val="none"/>
        </w:rPr>
      </w:pPr>
      <w:r>
        <w:rPr>
          <w:rFonts w:hint="eastAsia" w:ascii="宋体" w:hAnsi="宋体" w:cs="宋体"/>
          <w:kern w:val="0"/>
          <w:sz w:val="24"/>
          <w:highlight w:val="none"/>
        </w:rPr>
        <w:t>尊敬的投资者：</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理财计划办理流程</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首次在销售机构购买杭银理财理财计划的个人投资者须接受并完成销售机构对您的风险承受能力评估，并确认风险承受能力等级不低于本理财计划风险评级。</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投资者应仔细阅读本理财计划完整合同（包括但不限于</w:t>
      </w:r>
      <w:r>
        <w:rPr>
          <w:rFonts w:hint="eastAsia" w:ascii="宋体" w:hAnsi="宋体" w:cs="宋体"/>
          <w:kern w:val="0"/>
          <w:sz w:val="24"/>
          <w:highlight w:val="none"/>
          <w:lang w:eastAsia="zh-CN"/>
        </w:rPr>
        <w:t>理财计划</w:t>
      </w:r>
      <w:r>
        <w:rPr>
          <w:rFonts w:hint="eastAsia" w:ascii="宋体" w:hAnsi="宋体" w:cs="宋体"/>
          <w:kern w:val="0"/>
          <w:sz w:val="24"/>
          <w:highlight w:val="none"/>
        </w:rPr>
        <w:t>风险揭示书、理财计划产品说明书、投资者权益须知</w:t>
      </w:r>
      <w:r>
        <w:rPr>
          <w:rFonts w:hint="eastAsia" w:ascii="宋体" w:hAnsi="宋体" w:cs="宋体"/>
          <w:kern w:val="0"/>
          <w:sz w:val="24"/>
          <w:highlight w:val="none"/>
          <w:lang w:eastAsia="zh-CN"/>
        </w:rPr>
        <w:t>、</w:t>
      </w:r>
      <w:r>
        <w:rPr>
          <w:rFonts w:hint="eastAsia" w:ascii="宋体" w:hAnsi="宋体" w:cs="宋体"/>
          <w:kern w:val="0"/>
          <w:sz w:val="24"/>
          <w:highlight w:val="none"/>
        </w:rPr>
        <w:t>理财计划投资协议书</w:t>
      </w:r>
      <w:r>
        <w:rPr>
          <w:rFonts w:hint="eastAsia" w:ascii="宋体" w:hAnsi="宋体" w:cs="宋体"/>
          <w:kern w:val="0"/>
          <w:sz w:val="24"/>
          <w:highlight w:val="none"/>
          <w:lang w:eastAsia="zh-CN"/>
        </w:rPr>
        <w:t>和理财计划（</w:t>
      </w:r>
      <w:r>
        <w:rPr>
          <w:rFonts w:hint="eastAsia" w:ascii="宋体" w:hAnsi="宋体" w:cs="宋体"/>
          <w:kern w:val="0"/>
          <w:sz w:val="24"/>
          <w:highlight w:val="none"/>
          <w:lang w:val="en-US" w:eastAsia="zh-CN"/>
        </w:rPr>
        <w:t>代理销售</w:t>
      </w:r>
      <w:r>
        <w:rPr>
          <w:rFonts w:hint="eastAsia" w:ascii="宋体" w:hAnsi="宋体" w:cs="宋体"/>
          <w:kern w:val="0"/>
          <w:sz w:val="24"/>
          <w:highlight w:val="none"/>
          <w:lang w:eastAsia="zh-CN"/>
        </w:rPr>
        <w:t>）销售协议书</w:t>
      </w:r>
      <w:r>
        <w:rPr>
          <w:rFonts w:hint="eastAsia" w:ascii="宋体" w:hAnsi="宋体" w:cs="宋体"/>
          <w:kern w:val="0"/>
          <w:sz w:val="24"/>
          <w:highlight w:val="none"/>
        </w:rPr>
        <w:t>）等相关协议文件，确认对理财计划条款及风险理解并无疑问和异议后，自主作出认（申）购和赎回决定，独立抄录风险确认语句并签署相关销售文件，办理理财计划交易手续，自主承担投资风险。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lang w:eastAsia="zh-CN"/>
        </w:rPr>
        <w:t>投资者如需要认定为合格投资者，除阅读理财计划风险揭示书（三、其他信息提示）中的合格投资者要求并独立抄录确认外，还需配合销售机构提供投资者信息、金融资产证明或纳税凭证等相关证明材料。</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如在银行营业场所购买杭银理财理财计划，销售机构需对每笔理财计划销售过程同步录音录像。</w:t>
      </w:r>
      <w:r>
        <w:rPr>
          <w:rFonts w:hint="eastAsia" w:ascii="宋体" w:hAnsi="宋体" w:cs="宋体"/>
          <w:kern w:val="0"/>
          <w:sz w:val="24"/>
          <w:highlight w:val="none"/>
          <w:lang w:val="en-US" w:eastAsia="zh-CN"/>
        </w:rPr>
        <w:t>在没有销售人员推介的情况下，投资者通过自助终端等电子设备进行自主购买的情况除外。</w:t>
      </w:r>
    </w:p>
    <w:p>
      <w:pPr>
        <w:numPr>
          <w:ilvl w:val="0"/>
          <w:numId w:val="2"/>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投资者确定交易金额，完成交易申请，并在确认份额后进行查询。</w:t>
      </w:r>
    </w:p>
    <w:p>
      <w:pPr>
        <w:numPr>
          <w:ilvl w:val="0"/>
          <w:numId w:val="3"/>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杭银理财产品风险评级</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产品类型按照风险由低到高依次划分为低风险（R1）、中低风险（R2）、中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产品风险等级</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风险等级说明</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R1</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产品总体风险程度低，收益波动小，产品本金安全性高，收益不能实现的可能性很小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R2</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R3</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产品总体风险程度适中，收益存在一定的波动，产品本金出现损失的可能性不容忽视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R4</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产品总体风险程度较高，收益波动较明显，产品本金出现损失的可能性高</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R5</w:t>
            </w:r>
          </w:p>
        </w:tc>
        <w:tc>
          <w:tcPr>
            <w:tcW w:w="4287"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黑体"/>
                <w:kern w:val="0"/>
                <w:sz w:val="24"/>
                <w:szCs w:val="24"/>
                <w:highlight w:val="none"/>
                <w:lang w:val="en-US" w:eastAsia="zh-CN" w:bidi="ar-SA"/>
              </w:rPr>
              <w:t>产品总体风险程度高，收益波动明显，产品本金出现损失的可能性很高，产品本金出现全部损失的可能性不容忽视</w:t>
            </w:r>
          </w:p>
        </w:tc>
        <w:tc>
          <w:tcPr>
            <w:tcW w:w="2490" w:type="dxa"/>
            <w:tcBorders>
              <w:top w:val="single" w:color="auto" w:sz="4" w:space="0"/>
              <w:left w:val="single" w:color="auto" w:sz="4" w:space="0"/>
              <w:bottom w:val="single" w:color="auto" w:sz="4" w:space="0"/>
              <w:right w:val="single" w:color="auto" w:sz="4" w:space="0"/>
            </w:tcBorders>
            <w:noWrap w:val="0"/>
            <w:vAlign w:val="center"/>
          </w:tcPr>
          <w:p>
            <w:pPr>
              <w:widowControl w:val="0"/>
              <w:spacing w:line="360" w:lineRule="auto"/>
              <w:jc w:val="both"/>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机构投资者及进取型的个人投资者</w:t>
            </w:r>
          </w:p>
        </w:tc>
      </w:tr>
    </w:tbl>
    <w:p>
      <w:pPr>
        <w:pStyle w:val="13"/>
        <w:adjustRightInd/>
        <w:spacing w:line="360" w:lineRule="auto"/>
        <w:ind w:firstLine="480" w:firstLineChars="200"/>
        <w:rPr>
          <w:rFonts w:hint="default" w:ascii="宋体" w:hAnsi="宋体" w:eastAsia="宋体" w:cs="宋体"/>
          <w:b/>
          <w:kern w:val="0"/>
          <w:sz w:val="24"/>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numPr>
          <w:ilvl w:val="0"/>
          <w:numId w:val="4"/>
        </w:numPr>
        <w:spacing w:line="360" w:lineRule="auto"/>
        <w:outlineLvl w:val="1"/>
        <w:rPr>
          <w:rFonts w:hint="eastAsia" w:ascii="宋体" w:hAnsi="宋体" w:cs="宋体"/>
          <w:b/>
          <w:kern w:val="0"/>
          <w:sz w:val="24"/>
          <w:highlight w:val="none"/>
        </w:rPr>
      </w:pPr>
      <w:r>
        <w:rPr>
          <w:rFonts w:hint="eastAsia" w:ascii="宋体" w:hAnsi="宋体" w:cs="宋体"/>
          <w:b/>
          <w:kern w:val="0"/>
          <w:sz w:val="24"/>
          <w:highlight w:val="none"/>
        </w:rPr>
        <w:t>投资者风险承受能力评估</w:t>
      </w:r>
    </w:p>
    <w:p>
      <w:pPr>
        <w:numPr>
          <w:ilvl w:val="0"/>
          <w:numId w:val="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个人投资者风险承受能力评估结果有效期为一年，如风险承受能力评估时效已超过一年，或影响风险承受能力的因素发生变化，请及时完成风险承受能力的重新评估。</w:t>
      </w:r>
    </w:p>
    <w:p>
      <w:pPr>
        <w:numPr>
          <w:ilvl w:val="0"/>
          <w:numId w:val="5"/>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个人投资者风险承受能力评估流程（详询销售机构工作人员）</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个人投资者在销售机构进行风险承受能力评估；</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填写销售机构个人投资者风险承受能力测试问卷；</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生成相应的个人投资者风险承受能力评估结果；</w:t>
      </w:r>
    </w:p>
    <w:p>
      <w:pPr>
        <w:numPr>
          <w:ilvl w:val="0"/>
          <w:numId w:val="6"/>
        </w:numPr>
        <w:spacing w:line="360" w:lineRule="auto"/>
        <w:rPr>
          <w:rFonts w:hint="eastAsia" w:ascii="宋体" w:hAnsi="宋体" w:cs="宋体"/>
          <w:kern w:val="0"/>
          <w:sz w:val="24"/>
          <w:highlight w:val="none"/>
        </w:rPr>
      </w:pPr>
      <w:r>
        <w:rPr>
          <w:rFonts w:hint="eastAsia" w:ascii="宋体" w:hAnsi="宋体" w:cs="宋体"/>
          <w:kern w:val="0"/>
          <w:sz w:val="24"/>
          <w:highlight w:val="none"/>
        </w:rPr>
        <w:t>投资者对评估结果进行确认。</w:t>
      </w:r>
    </w:p>
    <w:p>
      <w:pPr>
        <w:numPr>
          <w:ilvl w:val="0"/>
          <w:numId w:val="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风险承受能力评估结果将作为评价个人投资者是否适合购买理财计划的重要因素，风险承受能力评级越高适合购买的理财计划风险评级越高，适合购买的理财计划类型越丰富。</w:t>
      </w:r>
    </w:p>
    <w:p>
      <w:pPr>
        <w:numPr>
          <w:ilvl w:val="0"/>
          <w:numId w:val="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7"/>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机构投资者购买理财计划前无须进行风险评估能力测试。机构投资者不适用个人投资者的风险承受能力评估，请机构投资者根据自身财务状况、投资风格、资金需求等要素，并在阅读本权益须知、</w:t>
      </w:r>
      <w:r>
        <w:rPr>
          <w:rFonts w:hint="eastAsia" w:ascii="宋体" w:hAnsi="宋体" w:cs="宋体"/>
          <w:kern w:val="0"/>
          <w:sz w:val="24"/>
          <w:highlight w:val="none"/>
          <w:lang w:eastAsia="zh-CN"/>
        </w:rPr>
        <w:t>理财计划风险揭示书、理财计划</w:t>
      </w:r>
      <w:r>
        <w:rPr>
          <w:rFonts w:hint="eastAsia" w:ascii="宋体" w:hAnsi="宋体" w:cs="宋体"/>
          <w:kern w:val="0"/>
          <w:sz w:val="24"/>
          <w:highlight w:val="none"/>
        </w:rPr>
        <w:t>产品说明书</w:t>
      </w:r>
      <w:r>
        <w:rPr>
          <w:rFonts w:hint="eastAsia" w:ascii="宋体" w:hAnsi="宋体" w:cs="宋体"/>
          <w:kern w:val="0"/>
          <w:sz w:val="24"/>
          <w:highlight w:val="none"/>
          <w:lang w:eastAsia="zh-CN"/>
        </w:rPr>
        <w:t>、理财计划投资协议书和理财计划销售协议书</w:t>
      </w:r>
      <w:r>
        <w:rPr>
          <w:rFonts w:hint="eastAsia" w:ascii="宋体" w:hAnsi="宋体" w:cs="宋体"/>
          <w:kern w:val="0"/>
          <w:sz w:val="24"/>
          <w:highlight w:val="none"/>
        </w:rPr>
        <w:t>的基础上，充分认识投资本理财计划需要承担的风险。</w:t>
      </w:r>
      <w:r>
        <w:rPr>
          <w:rFonts w:hint="eastAsia" w:ascii="宋体" w:hAnsi="宋体" w:cs="宋体"/>
          <w:kern w:val="0"/>
          <w:sz w:val="24"/>
          <w:highlight w:val="none"/>
          <w:lang w:val="en-US" w:eastAsia="zh-CN"/>
        </w:rPr>
        <w:t>如销售机构对于机构投资者的风险承受能力评估有要求的，则参照销售机构相关评估标准或代理销售协议书执行。</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四、理财计划信息披露</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五、投资者信息管理</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82" w:firstLineChars="200"/>
        <w:outlineLvl w:val="1"/>
        <w:rPr>
          <w:rFonts w:hint="eastAsia" w:ascii="宋体" w:hAnsi="宋体" w:cs="宋体"/>
          <w:b/>
          <w:kern w:val="0"/>
          <w:sz w:val="24"/>
          <w:highlight w:val="none"/>
        </w:rPr>
      </w:pPr>
      <w:r>
        <w:rPr>
          <w:rFonts w:hint="eastAsia" w:ascii="宋体" w:hAnsi="宋体" w:cs="宋体"/>
          <w:b/>
          <w:kern w:val="0"/>
          <w:sz w:val="24"/>
          <w:highlight w:val="none"/>
        </w:rPr>
        <w:t>六、投诉与建议</w:t>
      </w:r>
    </w:p>
    <w:p>
      <w:pPr>
        <w:numPr>
          <w:ilvl w:val="0"/>
          <w:numId w:val="8"/>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投资者如认为理财</w:t>
      </w:r>
      <w:r>
        <w:rPr>
          <w:rFonts w:hint="eastAsia" w:ascii="宋体" w:hAnsi="宋体" w:cs="宋体"/>
          <w:kern w:val="0"/>
          <w:sz w:val="24"/>
          <w:highlight w:val="none"/>
          <w:lang w:val="en-US" w:eastAsia="zh-CN"/>
        </w:rPr>
        <w:t>计划</w:t>
      </w:r>
      <w:r>
        <w:rPr>
          <w:rFonts w:hint="eastAsia" w:ascii="宋体" w:hAnsi="宋体" w:cs="宋体"/>
          <w:kern w:val="0"/>
          <w:sz w:val="24"/>
          <w:highlight w:val="none"/>
        </w:rPr>
        <w:t>推介销售材料及过程中有不实或未尽风险告知职责或其它疑义事项，或对理财计划、销售机构及理财计划管理人服务有任何意见或建议，可通过拨打销售机构</w:t>
      </w:r>
      <w:r>
        <w:rPr>
          <w:rFonts w:hint="eastAsia" w:ascii="宋体" w:hAnsi="宋体" w:cs="宋体"/>
          <w:kern w:val="0"/>
          <w:sz w:val="24"/>
          <w:highlight w:val="none"/>
          <w:lang w:val="en-US" w:eastAsia="zh-CN"/>
        </w:rPr>
        <w:t>或管理人</w:t>
      </w:r>
      <w:r>
        <w:rPr>
          <w:rFonts w:hint="eastAsia" w:ascii="宋体" w:hAnsi="宋体" w:cs="宋体"/>
          <w:kern w:val="0"/>
          <w:sz w:val="24"/>
          <w:highlight w:val="none"/>
        </w:rPr>
        <w:t>热线或客服电话进行反馈</w:t>
      </w:r>
      <w:r>
        <w:rPr>
          <w:rFonts w:hint="eastAsia" w:ascii="宋体" w:hAnsi="宋体" w:cs="宋体"/>
          <w:kern w:val="0"/>
          <w:sz w:val="24"/>
          <w:highlight w:val="none"/>
          <w:lang w:eastAsia="zh-CN"/>
        </w:rPr>
        <w:t>，</w:t>
      </w:r>
      <w:r>
        <w:rPr>
          <w:rFonts w:hint="eastAsia" w:ascii="宋体" w:hAnsi="宋体" w:cs="宋体"/>
          <w:kern w:val="0"/>
          <w:sz w:val="24"/>
          <w:highlight w:val="none"/>
        </w:rPr>
        <w:t>将由专人接听、记录您的意见建议，并由双方协商共同解决。</w:t>
      </w:r>
    </w:p>
    <w:p>
      <w:pPr>
        <w:numPr>
          <w:ilvl w:val="0"/>
          <w:numId w:val="8"/>
        </w:numPr>
        <w:spacing w:line="360" w:lineRule="auto"/>
        <w:outlineLvl w:val="2"/>
        <w:rPr>
          <w:rFonts w:hint="eastAsia" w:ascii="宋体" w:hAnsi="宋体" w:cs="宋体"/>
          <w:kern w:val="0"/>
          <w:sz w:val="24"/>
          <w:highlight w:val="none"/>
        </w:rPr>
      </w:pPr>
      <w:r>
        <w:rPr>
          <w:rFonts w:hint="eastAsia" w:ascii="宋体" w:hAnsi="宋体" w:cs="宋体"/>
          <w:kern w:val="0"/>
          <w:sz w:val="24"/>
          <w:highlight w:val="none"/>
        </w:rPr>
        <w:t>联络方式</w:t>
      </w:r>
    </w:p>
    <w:p>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杭银理财联络方式：</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杭银理财联络方式：</w:t>
      </w:r>
    </w:p>
    <w:p>
      <w:pPr>
        <w:numPr>
          <w:ilvl w:val="0"/>
          <w:numId w:val="0"/>
        </w:num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bCs/>
          <w:color w:val="auto"/>
          <w:kern w:val="2"/>
          <w:highlight w:val="none"/>
          <w:u w:val="none"/>
          <w:lang w:val="en-US" w:eastAsia="zh-CN"/>
        </w:rPr>
        <w:t>https://</w:t>
      </w:r>
      <w:r>
        <w:rPr>
          <w:rStyle w:val="11"/>
          <w:rFonts w:hint="eastAsia" w:ascii="宋体" w:hAnsi="宋体" w:cs="宋体"/>
          <w:color w:val="auto"/>
          <w:kern w:val="0"/>
          <w:sz w:val="24"/>
          <w:szCs w:val="22"/>
          <w:highlight w:val="none"/>
          <w:u w:val="none"/>
          <w:lang w:val="en-US" w:eastAsia="zh-CN"/>
        </w:rPr>
        <w:t>www.hzbankwealth.com.cn</w:t>
      </w:r>
    </w:p>
    <w:p>
      <w:pPr>
        <w:numPr>
          <w:ilvl w:val="0"/>
          <w:numId w:val="0"/>
        </w:numPr>
        <w:spacing w:line="360" w:lineRule="auto"/>
        <w:ind w:firstLine="480" w:firstLineChars="200"/>
        <w:rPr>
          <w:rFonts w:hint="default" w:ascii="宋体" w:hAnsi="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客户服务热线：400-8950-999</w:t>
      </w:r>
    </w:p>
    <w:p>
      <w:pPr>
        <w:numPr>
          <w:ilvl w:val="0"/>
          <w:numId w:val="0"/>
        </w:num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u w:val="none"/>
          <w:lang w:val="en-US" w:eastAsia="zh-CN"/>
        </w:rPr>
        <w:t>公司地址：</w:t>
      </w:r>
      <w:r>
        <w:rPr>
          <w:rFonts w:hint="eastAsia" w:ascii="宋体" w:hAnsi="宋体" w:cs="宋体"/>
          <w:kern w:val="0"/>
          <w:sz w:val="24"/>
          <w:highlight w:val="none"/>
        </w:rPr>
        <w:t>杭州市拱墅区庆春路38号金龙财富中心6楼</w:t>
      </w:r>
    </w:p>
    <w:p>
      <w:pPr>
        <w:numPr>
          <w:ilvl w:val="0"/>
          <w:numId w:val="0"/>
        </w:numPr>
        <w:spacing w:line="360" w:lineRule="auto"/>
        <w:ind w:firstLine="480" w:firstLineChars="200"/>
        <w:rPr>
          <w:rFonts w:hint="eastAsia" w:ascii="宋体" w:hAnsi="宋体" w:eastAsia="宋体" w:cs="宋体"/>
          <w:kern w:val="0"/>
          <w:sz w:val="24"/>
          <w:highlight w:val="none"/>
          <w:lang w:val="en-US" w:eastAsia="zh-CN"/>
        </w:rPr>
      </w:pPr>
      <w:r>
        <w:rPr>
          <w:rFonts w:hint="eastAsia" w:ascii="宋体" w:hAnsi="宋体" w:cs="宋体"/>
          <w:kern w:val="0"/>
          <w:sz w:val="24"/>
          <w:highlight w:val="none"/>
          <w:lang w:eastAsia="zh-CN"/>
        </w:rPr>
        <w:t>若</w:t>
      </w:r>
      <w:r>
        <w:rPr>
          <w:rFonts w:hint="eastAsia" w:ascii="宋体" w:hAnsi="宋体" w:cs="宋体"/>
          <w:kern w:val="0"/>
          <w:sz w:val="24"/>
          <w:highlight w:val="none"/>
        </w:rPr>
        <w:t>上述联系方式变更，杭银理财将提前通过</w:t>
      </w:r>
      <w:r>
        <w:rPr>
          <w:rFonts w:hint="eastAsia" w:ascii="宋体" w:hAnsi="宋体" w:cs="宋体"/>
          <w:kern w:val="0"/>
          <w:sz w:val="24"/>
          <w:highlight w:val="none"/>
          <w:lang w:eastAsia="zh-CN"/>
        </w:rPr>
        <w:t>官方网站</w:t>
      </w:r>
      <w:r>
        <w:rPr>
          <w:rFonts w:hint="eastAsia" w:ascii="宋体" w:hAnsi="宋体" w:cs="宋体"/>
          <w:kern w:val="0"/>
          <w:sz w:val="24"/>
          <w:highlight w:val="none"/>
        </w:rPr>
        <w:t>及时告知投资者。</w:t>
      </w:r>
    </w:p>
    <w:p>
      <w:pPr>
        <w:numPr>
          <w:ilvl w:val="0"/>
          <w:numId w:val="9"/>
        </w:numPr>
        <w:spacing w:line="360" w:lineRule="auto"/>
        <w:ind w:left="0" w:leftChars="0" w:firstLine="400" w:firstLineChars="0"/>
        <w:rPr>
          <w:rFonts w:hint="eastAsia" w:ascii="宋体" w:hAnsi="宋体" w:cs="宋体"/>
          <w:kern w:val="0"/>
          <w:sz w:val="24"/>
          <w:highlight w:val="none"/>
        </w:rPr>
      </w:pPr>
      <w:r>
        <w:rPr>
          <w:rFonts w:hint="eastAsia" w:ascii="宋体" w:hAnsi="宋体" w:cs="宋体"/>
          <w:kern w:val="0"/>
          <w:sz w:val="24"/>
          <w:highlight w:val="none"/>
          <w:lang w:eastAsia="zh-CN"/>
        </w:rPr>
        <w:t>杭州银行</w:t>
      </w:r>
      <w:r>
        <w:rPr>
          <w:rFonts w:hint="eastAsia" w:ascii="宋体" w:hAnsi="宋体" w:cs="宋体"/>
          <w:kern w:val="0"/>
          <w:sz w:val="24"/>
          <w:highlight w:val="none"/>
        </w:rPr>
        <w:t>（作为销售机构）</w:t>
      </w:r>
      <w:r>
        <w:rPr>
          <w:rFonts w:hint="eastAsia" w:ascii="宋体" w:hAnsi="宋体" w:cs="宋体"/>
          <w:kern w:val="0"/>
          <w:sz w:val="24"/>
          <w:highlight w:val="none"/>
          <w:lang w:eastAsia="zh-CN"/>
        </w:rPr>
        <w:t>联络方式：</w:t>
      </w:r>
    </w:p>
    <w:p>
      <w:pPr>
        <w:spacing w:line="360" w:lineRule="auto"/>
        <w:ind w:firstLine="480" w:firstLineChars="200"/>
        <w:rPr>
          <w:rFonts w:hint="eastAsia" w:ascii="宋体" w:hAnsi="宋体" w:cs="宋体"/>
          <w:kern w:val="0"/>
          <w:sz w:val="24"/>
          <w:highlight w:val="none"/>
          <w:u w:val="single"/>
          <w:lang w:val="en-US" w:eastAsia="zh-CN"/>
        </w:rPr>
      </w:pPr>
      <w:r>
        <w:rPr>
          <w:rFonts w:hint="eastAsia" w:ascii="宋体" w:hAnsi="宋体" w:cs="宋体"/>
          <w:kern w:val="0"/>
          <w:sz w:val="24"/>
          <w:highlight w:val="none"/>
          <w:lang w:eastAsia="zh-CN"/>
        </w:rPr>
        <w:t>官方网站</w:t>
      </w:r>
      <w:r>
        <w:rPr>
          <w:rFonts w:hint="eastAsia" w:ascii="宋体" w:hAnsi="宋体" w:cs="宋体"/>
          <w:kern w:val="0"/>
          <w:sz w:val="24"/>
          <w:highlight w:val="none"/>
          <w:lang w:val="en-US" w:eastAsia="zh-CN"/>
        </w:rPr>
        <w:t xml:space="preserve">: </w:t>
      </w:r>
      <w:r>
        <w:rPr>
          <w:highlight w:val="none"/>
        </w:rPr>
        <w:fldChar w:fldCharType="begin"/>
      </w:r>
      <w:r>
        <w:rPr>
          <w:rStyle w:val="11"/>
          <w:rFonts w:hint="eastAsia" w:ascii="宋体" w:hAnsi="宋体" w:cs="宋体"/>
          <w:color w:val="auto"/>
          <w:kern w:val="0"/>
          <w:sz w:val="24"/>
          <w:highlight w:val="none"/>
          <w:u w:val="none"/>
          <w:lang w:val="en-US" w:eastAsia="zh-CN"/>
        </w:rPr>
        <w:instrText xml:space="preserve"> HYPERLINK "http://www.hzbankwealth.cn" </w:instrText>
      </w:r>
      <w:r>
        <w:rPr>
          <w:highlight w:val="none"/>
        </w:rPr>
        <w:fldChar w:fldCharType="separate"/>
      </w:r>
      <w:r>
        <w:rPr>
          <w:rStyle w:val="11"/>
          <w:rFonts w:hint="eastAsia" w:ascii="宋体" w:hAnsi="宋体" w:cs="宋体"/>
          <w:color w:val="auto"/>
          <w:kern w:val="0"/>
          <w:sz w:val="24"/>
          <w:highlight w:val="none"/>
          <w:u w:val="none"/>
          <w:lang w:val="en-US" w:eastAsia="zh-CN"/>
        </w:rPr>
        <w:t>www.hzbank.com.cn</w:t>
      </w:r>
      <w:r>
        <w:rPr>
          <w:highlight w:val="none"/>
        </w:rPr>
        <w:fldChar w:fldCharType="end"/>
      </w:r>
    </w:p>
    <w:p>
      <w:pPr>
        <w:spacing w:line="360" w:lineRule="auto"/>
        <w:ind w:firstLine="480" w:firstLineChars="200"/>
        <w:rPr>
          <w:rFonts w:hint="default" w:ascii="宋体" w:hAnsi="宋体" w:eastAsia="宋体" w:cs="宋体"/>
          <w:kern w:val="0"/>
          <w:sz w:val="24"/>
          <w:highlight w:val="none"/>
          <w:u w:val="none"/>
          <w:lang w:val="en-US" w:eastAsia="zh-CN"/>
        </w:rPr>
      </w:pPr>
      <w:r>
        <w:rPr>
          <w:rFonts w:hint="eastAsia" w:ascii="宋体" w:hAnsi="宋体" w:cs="宋体"/>
          <w:kern w:val="0"/>
          <w:sz w:val="24"/>
          <w:highlight w:val="none"/>
          <w:u w:val="none"/>
          <w:lang w:val="en-US" w:eastAsia="zh-CN"/>
        </w:rPr>
        <w:t>客户服务热线：95398、</w:t>
      </w:r>
      <w:r>
        <w:rPr>
          <w:rFonts w:hint="eastAsia" w:ascii="宋体" w:hAnsi="宋体" w:cs="宋体"/>
          <w:kern w:val="0"/>
          <w:sz w:val="24"/>
          <w:highlight w:val="none"/>
        </w:rPr>
        <w:t>4008888508</w:t>
      </w:r>
    </w:p>
    <w:p>
      <w:pPr>
        <w:spacing w:line="360" w:lineRule="auto"/>
        <w:ind w:firstLine="480" w:firstLineChars="200"/>
        <w:jc w:val="left"/>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在</w:t>
      </w:r>
      <w:r>
        <w:rPr>
          <w:rFonts w:hint="eastAsia" w:ascii="宋体" w:hAnsi="宋体" w:cs="宋体"/>
          <w:kern w:val="0"/>
          <w:sz w:val="24"/>
          <w:highlight w:val="none"/>
        </w:rPr>
        <w:t>其他销售机构购买理财计划的，请联系其他销售机构，联系方式以其披露为准。</w:t>
      </w:r>
    </w:p>
    <w:p>
      <w:pPr>
        <w:jc w:val="both"/>
        <w:outlineLvl w:val="9"/>
        <w:rPr>
          <w:rFonts w:hint="eastAsia" w:ascii="Calibri" w:hAnsi="Calibri" w:eastAsia="宋体" w:cs="黑体"/>
          <w:b/>
          <w:bCs w:val="0"/>
          <w:sz w:val="44"/>
          <w:szCs w:val="44"/>
          <w:highlight w:val="none"/>
          <w:lang w:val="en-US" w:eastAsia="zh-CN"/>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c17eW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w:t>
    </w:r>
    <w:r>
      <w:rPr>
        <w:rFonts w:hint="eastAsia"/>
        <w:b/>
        <w:bCs/>
        <w:lang w:val="en-US" w:eastAsia="zh-CN"/>
      </w:rPr>
      <w:t>须</w:t>
    </w:r>
    <w:r>
      <w:rPr>
        <w:rFonts w:hint="eastAsia"/>
        <w:b/>
        <w:bCs/>
      </w:rPr>
      <w:t>谨慎</w:t>
    </w:r>
    <w:r>
      <w:rPr>
        <w:b/>
        <w:bCs/>
      </w:rPr>
      <w:drawing>
        <wp:anchor distT="0" distB="0" distL="114300" distR="114300" simplePos="0" relativeHeight="251658240"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50B14"/>
    <w:multiLevelType w:val="singleLevel"/>
    <w:tmpl w:val="3C550B14"/>
    <w:lvl w:ilvl="0" w:tentative="0">
      <w:start w:val="1"/>
      <w:numFmt w:val="decimal"/>
      <w:suff w:val="nothing"/>
      <w:lvlText w:val="%1．"/>
      <w:lvlJc w:val="left"/>
      <w:pPr>
        <w:ind w:left="0" w:firstLine="400"/>
      </w:pPr>
      <w:rPr>
        <w:rFonts w:hint="default"/>
      </w:rPr>
    </w:lvl>
  </w:abstractNum>
  <w:abstractNum w:abstractNumId="1">
    <w:nsid w:val="60C03E3F"/>
    <w:multiLevelType w:val="singleLevel"/>
    <w:tmpl w:val="60C03E3F"/>
    <w:lvl w:ilvl="0" w:tentative="0">
      <w:start w:val="1"/>
      <w:numFmt w:val="chineseCounting"/>
      <w:suff w:val="nothing"/>
      <w:lvlText w:val="（%1）"/>
      <w:lvlJc w:val="left"/>
      <w:pPr>
        <w:ind w:left="0" w:firstLine="420"/>
      </w:pPr>
      <w:rPr>
        <w:rFonts w:hint="eastAsia"/>
      </w:rPr>
    </w:lvl>
  </w:abstractNum>
  <w:abstractNum w:abstractNumId="2">
    <w:nsid w:val="60C03E76"/>
    <w:multiLevelType w:val="singleLevel"/>
    <w:tmpl w:val="60C03E76"/>
    <w:lvl w:ilvl="0" w:tentative="0">
      <w:start w:val="1"/>
      <w:numFmt w:val="chineseCounting"/>
      <w:suff w:val="nothing"/>
      <w:lvlText w:val="%1、"/>
      <w:lvlJc w:val="left"/>
      <w:pPr>
        <w:ind w:left="0" w:firstLine="420"/>
      </w:pPr>
      <w:rPr>
        <w:rFonts w:hint="eastAsia"/>
      </w:rPr>
    </w:lvl>
  </w:abstractNum>
  <w:abstractNum w:abstractNumId="3">
    <w:nsid w:val="60C03E91"/>
    <w:multiLevelType w:val="singleLevel"/>
    <w:tmpl w:val="60C03E91"/>
    <w:lvl w:ilvl="0" w:tentative="0">
      <w:start w:val="2"/>
      <w:numFmt w:val="chineseCounting"/>
      <w:suff w:val="nothing"/>
      <w:lvlText w:val="%1、"/>
      <w:lvlJc w:val="left"/>
      <w:pPr>
        <w:ind w:left="0" w:firstLine="420"/>
      </w:pPr>
      <w:rPr>
        <w:rFonts w:hint="eastAsia"/>
      </w:rPr>
    </w:lvl>
  </w:abstractNum>
  <w:abstractNum w:abstractNumId="4">
    <w:nsid w:val="60C03EC3"/>
    <w:multiLevelType w:val="singleLevel"/>
    <w:tmpl w:val="60C03EC3"/>
    <w:lvl w:ilvl="0" w:tentative="0">
      <w:start w:val="3"/>
      <w:numFmt w:val="chineseCounting"/>
      <w:suff w:val="nothing"/>
      <w:lvlText w:val="%1、"/>
      <w:lvlJc w:val="left"/>
      <w:pPr>
        <w:ind w:left="0" w:firstLine="420"/>
      </w:pPr>
      <w:rPr>
        <w:rFonts w:hint="eastAsia"/>
      </w:rPr>
    </w:lvl>
  </w:abstractNum>
  <w:abstractNum w:abstractNumId="5">
    <w:nsid w:val="60C03ED7"/>
    <w:multiLevelType w:val="singleLevel"/>
    <w:tmpl w:val="60C03ED7"/>
    <w:lvl w:ilvl="0" w:tentative="0">
      <w:start w:val="1"/>
      <w:numFmt w:val="chineseCounting"/>
      <w:suff w:val="nothing"/>
      <w:lvlText w:val="（%1）"/>
      <w:lvlJc w:val="left"/>
      <w:pPr>
        <w:ind w:left="0" w:firstLine="420"/>
      </w:pPr>
      <w:rPr>
        <w:rFonts w:hint="eastAsia"/>
      </w:rPr>
    </w:lvl>
  </w:abstractNum>
  <w:abstractNum w:abstractNumId="6">
    <w:nsid w:val="60C03F05"/>
    <w:multiLevelType w:val="singleLevel"/>
    <w:tmpl w:val="60C03F05"/>
    <w:lvl w:ilvl="0" w:tentative="0">
      <w:start w:val="1"/>
      <w:numFmt w:val="decimal"/>
      <w:suff w:val="nothing"/>
      <w:lvlText w:val="%1．"/>
      <w:lvlJc w:val="left"/>
      <w:pPr>
        <w:ind w:left="0" w:firstLine="400"/>
      </w:pPr>
      <w:rPr>
        <w:rFonts w:hint="default"/>
      </w:rPr>
    </w:lvl>
  </w:abstractNum>
  <w:abstractNum w:abstractNumId="7">
    <w:nsid w:val="60C03F2E"/>
    <w:multiLevelType w:val="singleLevel"/>
    <w:tmpl w:val="60C03F2E"/>
    <w:lvl w:ilvl="0" w:tentative="0">
      <w:start w:val="4"/>
      <w:numFmt w:val="chineseCounting"/>
      <w:suff w:val="nothing"/>
      <w:lvlText w:val="（%1）"/>
      <w:lvlJc w:val="left"/>
      <w:pPr>
        <w:ind w:left="0" w:firstLine="420"/>
      </w:pPr>
      <w:rPr>
        <w:rFonts w:hint="eastAsia"/>
      </w:rPr>
    </w:lvl>
  </w:abstractNum>
  <w:abstractNum w:abstractNumId="8">
    <w:nsid w:val="60C03F4B"/>
    <w:multiLevelType w:val="singleLevel"/>
    <w:tmpl w:val="60C03F4B"/>
    <w:lvl w:ilvl="0" w:tentative="0">
      <w:start w:val="1"/>
      <w:numFmt w:val="chineseCounting"/>
      <w:suff w:val="nothing"/>
      <w:lvlText w:val="（%1）"/>
      <w:lvlJc w:val="left"/>
      <w:pPr>
        <w:ind w:left="0" w:firstLine="420"/>
      </w:pPr>
      <w:rPr>
        <w:rFonts w:hint="eastAsia"/>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jOWZhYjNhMDcwZTUwMzk1N2Q1ZTljMmJlZmYyNzcifQ=="/>
  </w:docVars>
  <w:rsids>
    <w:rsidRoot w:val="00172A27"/>
    <w:rsid w:val="000107D6"/>
    <w:rsid w:val="000A19CC"/>
    <w:rsid w:val="000B1563"/>
    <w:rsid w:val="000C5797"/>
    <w:rsid w:val="00123AE9"/>
    <w:rsid w:val="00140EE3"/>
    <w:rsid w:val="00175D3F"/>
    <w:rsid w:val="00187BC5"/>
    <w:rsid w:val="00194470"/>
    <w:rsid w:val="001B4676"/>
    <w:rsid w:val="001C01B2"/>
    <w:rsid w:val="001D2C7B"/>
    <w:rsid w:val="002141BE"/>
    <w:rsid w:val="00232E3B"/>
    <w:rsid w:val="0023532C"/>
    <w:rsid w:val="00263368"/>
    <w:rsid w:val="00274E11"/>
    <w:rsid w:val="00304AEE"/>
    <w:rsid w:val="00327FC6"/>
    <w:rsid w:val="00343F73"/>
    <w:rsid w:val="00386FEC"/>
    <w:rsid w:val="003A1A36"/>
    <w:rsid w:val="003A3C2F"/>
    <w:rsid w:val="003D1B3C"/>
    <w:rsid w:val="003E5127"/>
    <w:rsid w:val="003E5FE8"/>
    <w:rsid w:val="004556BB"/>
    <w:rsid w:val="00475C26"/>
    <w:rsid w:val="004A724E"/>
    <w:rsid w:val="005571F8"/>
    <w:rsid w:val="00557E0E"/>
    <w:rsid w:val="00652A77"/>
    <w:rsid w:val="006B63C1"/>
    <w:rsid w:val="00720124"/>
    <w:rsid w:val="007542C9"/>
    <w:rsid w:val="00765C48"/>
    <w:rsid w:val="00773199"/>
    <w:rsid w:val="00793C62"/>
    <w:rsid w:val="007C65CD"/>
    <w:rsid w:val="008207F1"/>
    <w:rsid w:val="00852C69"/>
    <w:rsid w:val="00873DE6"/>
    <w:rsid w:val="00882FCB"/>
    <w:rsid w:val="008C74C9"/>
    <w:rsid w:val="008D78BD"/>
    <w:rsid w:val="008E13C5"/>
    <w:rsid w:val="00901BED"/>
    <w:rsid w:val="00902D93"/>
    <w:rsid w:val="00914DAB"/>
    <w:rsid w:val="00993044"/>
    <w:rsid w:val="009B2DC4"/>
    <w:rsid w:val="009B40C6"/>
    <w:rsid w:val="009B64A7"/>
    <w:rsid w:val="009C3F7C"/>
    <w:rsid w:val="009C43A4"/>
    <w:rsid w:val="00A20F48"/>
    <w:rsid w:val="00A338FE"/>
    <w:rsid w:val="00A77F3E"/>
    <w:rsid w:val="00B765F3"/>
    <w:rsid w:val="00C012A2"/>
    <w:rsid w:val="00C07905"/>
    <w:rsid w:val="00C2564F"/>
    <w:rsid w:val="00C944CB"/>
    <w:rsid w:val="00D06904"/>
    <w:rsid w:val="00D07D02"/>
    <w:rsid w:val="00D14693"/>
    <w:rsid w:val="00D16C82"/>
    <w:rsid w:val="00D34068"/>
    <w:rsid w:val="00D41665"/>
    <w:rsid w:val="00D44268"/>
    <w:rsid w:val="00D47AB0"/>
    <w:rsid w:val="00D61838"/>
    <w:rsid w:val="00D767CF"/>
    <w:rsid w:val="00DA1B4C"/>
    <w:rsid w:val="00DC5F5C"/>
    <w:rsid w:val="00DF33CE"/>
    <w:rsid w:val="00E13193"/>
    <w:rsid w:val="00E35C54"/>
    <w:rsid w:val="00E406C4"/>
    <w:rsid w:val="00E7096F"/>
    <w:rsid w:val="00EB473B"/>
    <w:rsid w:val="00EE319D"/>
    <w:rsid w:val="00F0077E"/>
    <w:rsid w:val="00F50192"/>
    <w:rsid w:val="00F5498F"/>
    <w:rsid w:val="00F5749D"/>
    <w:rsid w:val="00F8181B"/>
    <w:rsid w:val="00FA0296"/>
    <w:rsid w:val="00FA6CE7"/>
    <w:rsid w:val="00FE2923"/>
    <w:rsid w:val="02562BF7"/>
    <w:rsid w:val="02FF6A3A"/>
    <w:rsid w:val="03BA3F56"/>
    <w:rsid w:val="0460442C"/>
    <w:rsid w:val="04CC55AF"/>
    <w:rsid w:val="0500018B"/>
    <w:rsid w:val="05B13762"/>
    <w:rsid w:val="07376664"/>
    <w:rsid w:val="09130B13"/>
    <w:rsid w:val="0B1A5A6E"/>
    <w:rsid w:val="0B2D0BA7"/>
    <w:rsid w:val="0B9F06D4"/>
    <w:rsid w:val="0BFD0501"/>
    <w:rsid w:val="0C583EF5"/>
    <w:rsid w:val="0D6706EF"/>
    <w:rsid w:val="0DBE77E4"/>
    <w:rsid w:val="0E2830EC"/>
    <w:rsid w:val="101F6BD5"/>
    <w:rsid w:val="10504FB0"/>
    <w:rsid w:val="110C5156"/>
    <w:rsid w:val="110E3B80"/>
    <w:rsid w:val="117A174C"/>
    <w:rsid w:val="118D4B5D"/>
    <w:rsid w:val="11BF48B2"/>
    <w:rsid w:val="120050A9"/>
    <w:rsid w:val="133A19E0"/>
    <w:rsid w:val="13FC36E3"/>
    <w:rsid w:val="14411A68"/>
    <w:rsid w:val="1442705A"/>
    <w:rsid w:val="14AD62A1"/>
    <w:rsid w:val="155F3FC2"/>
    <w:rsid w:val="15841F16"/>
    <w:rsid w:val="15A51540"/>
    <w:rsid w:val="15C972B9"/>
    <w:rsid w:val="15FFB4E2"/>
    <w:rsid w:val="162A128A"/>
    <w:rsid w:val="16563388"/>
    <w:rsid w:val="17432384"/>
    <w:rsid w:val="17611875"/>
    <w:rsid w:val="1783542D"/>
    <w:rsid w:val="179972B0"/>
    <w:rsid w:val="17C82AD1"/>
    <w:rsid w:val="18FC27C6"/>
    <w:rsid w:val="1B354DE0"/>
    <w:rsid w:val="1B4B1291"/>
    <w:rsid w:val="1B757EAF"/>
    <w:rsid w:val="1CAD01AC"/>
    <w:rsid w:val="1D4F0AE0"/>
    <w:rsid w:val="1D866C77"/>
    <w:rsid w:val="1D9446FE"/>
    <w:rsid w:val="1DFF113E"/>
    <w:rsid w:val="1E0A6313"/>
    <w:rsid w:val="1E831DF3"/>
    <w:rsid w:val="1E856DEB"/>
    <w:rsid w:val="1F3C1565"/>
    <w:rsid w:val="20BD2325"/>
    <w:rsid w:val="24A67BC4"/>
    <w:rsid w:val="25801A05"/>
    <w:rsid w:val="27CE3874"/>
    <w:rsid w:val="27EB3D24"/>
    <w:rsid w:val="28B13D99"/>
    <w:rsid w:val="2A4135AD"/>
    <w:rsid w:val="2AD52CEA"/>
    <w:rsid w:val="2B683C5D"/>
    <w:rsid w:val="2B8255D3"/>
    <w:rsid w:val="2CED7384"/>
    <w:rsid w:val="2D131CD0"/>
    <w:rsid w:val="2DD45D89"/>
    <w:rsid w:val="2FAF3215"/>
    <w:rsid w:val="307B1E47"/>
    <w:rsid w:val="32FF4CC1"/>
    <w:rsid w:val="33C67AA9"/>
    <w:rsid w:val="348C31DF"/>
    <w:rsid w:val="348E01C6"/>
    <w:rsid w:val="354C4323"/>
    <w:rsid w:val="35CD15B7"/>
    <w:rsid w:val="35D86BDE"/>
    <w:rsid w:val="35FD5667"/>
    <w:rsid w:val="36310E4A"/>
    <w:rsid w:val="36591675"/>
    <w:rsid w:val="372216A6"/>
    <w:rsid w:val="38663D34"/>
    <w:rsid w:val="39310E98"/>
    <w:rsid w:val="39977E11"/>
    <w:rsid w:val="3AA66AF1"/>
    <w:rsid w:val="3B885E8A"/>
    <w:rsid w:val="3BF91FE0"/>
    <w:rsid w:val="3D3D1991"/>
    <w:rsid w:val="3DF2217F"/>
    <w:rsid w:val="3E6E2E42"/>
    <w:rsid w:val="3EA23778"/>
    <w:rsid w:val="3EAC1C1C"/>
    <w:rsid w:val="3EE67142"/>
    <w:rsid w:val="3EFE04EE"/>
    <w:rsid w:val="3FCF347B"/>
    <w:rsid w:val="3FE830E5"/>
    <w:rsid w:val="3FF3288E"/>
    <w:rsid w:val="3FFF2FDA"/>
    <w:rsid w:val="40221B6B"/>
    <w:rsid w:val="41487A0A"/>
    <w:rsid w:val="42342BAA"/>
    <w:rsid w:val="425B6A60"/>
    <w:rsid w:val="426E7500"/>
    <w:rsid w:val="43685ADB"/>
    <w:rsid w:val="44045C03"/>
    <w:rsid w:val="446A4F91"/>
    <w:rsid w:val="46DB254E"/>
    <w:rsid w:val="478A2A1D"/>
    <w:rsid w:val="47C36E36"/>
    <w:rsid w:val="47FFEEA7"/>
    <w:rsid w:val="48A3615E"/>
    <w:rsid w:val="48E00B0C"/>
    <w:rsid w:val="49CB5098"/>
    <w:rsid w:val="4B7B050C"/>
    <w:rsid w:val="4B954EA0"/>
    <w:rsid w:val="4CC84C98"/>
    <w:rsid w:val="4D4708A6"/>
    <w:rsid w:val="4E754A4E"/>
    <w:rsid w:val="4E9967DA"/>
    <w:rsid w:val="4ECF30D7"/>
    <w:rsid w:val="4EDFE998"/>
    <w:rsid w:val="4F1025D9"/>
    <w:rsid w:val="4FC27339"/>
    <w:rsid w:val="502B3CEE"/>
    <w:rsid w:val="509F5AAF"/>
    <w:rsid w:val="50EE58D7"/>
    <w:rsid w:val="519E097B"/>
    <w:rsid w:val="51EB2798"/>
    <w:rsid w:val="53A84543"/>
    <w:rsid w:val="56A66316"/>
    <w:rsid w:val="57C8521F"/>
    <w:rsid w:val="5851778C"/>
    <w:rsid w:val="58A020D2"/>
    <w:rsid w:val="5A5F3178"/>
    <w:rsid w:val="5A6368AB"/>
    <w:rsid w:val="5A7E2982"/>
    <w:rsid w:val="5B24597E"/>
    <w:rsid w:val="5B7358EA"/>
    <w:rsid w:val="5BEF430C"/>
    <w:rsid w:val="5C531CB6"/>
    <w:rsid w:val="5CF01D88"/>
    <w:rsid w:val="5D5C0387"/>
    <w:rsid w:val="5FDF50F0"/>
    <w:rsid w:val="608F3A1C"/>
    <w:rsid w:val="6336483C"/>
    <w:rsid w:val="636F22E5"/>
    <w:rsid w:val="646D7D7D"/>
    <w:rsid w:val="64A47711"/>
    <w:rsid w:val="64BB6AA4"/>
    <w:rsid w:val="64EB1FB1"/>
    <w:rsid w:val="65085FDD"/>
    <w:rsid w:val="66A625FE"/>
    <w:rsid w:val="66BC7D07"/>
    <w:rsid w:val="672D0717"/>
    <w:rsid w:val="68782DAE"/>
    <w:rsid w:val="68A1454F"/>
    <w:rsid w:val="69644745"/>
    <w:rsid w:val="69BC658F"/>
    <w:rsid w:val="6A042D14"/>
    <w:rsid w:val="6ABE1B22"/>
    <w:rsid w:val="6B29233B"/>
    <w:rsid w:val="6B8C2015"/>
    <w:rsid w:val="6C1B5E3A"/>
    <w:rsid w:val="6C3E06A6"/>
    <w:rsid w:val="6D966DB7"/>
    <w:rsid w:val="6DFFC3DA"/>
    <w:rsid w:val="6E9FBD1B"/>
    <w:rsid w:val="6EE209DA"/>
    <w:rsid w:val="6FDF216C"/>
    <w:rsid w:val="70597F18"/>
    <w:rsid w:val="7082330A"/>
    <w:rsid w:val="70B07D50"/>
    <w:rsid w:val="71876AC5"/>
    <w:rsid w:val="725917A9"/>
    <w:rsid w:val="73631A55"/>
    <w:rsid w:val="77B75243"/>
    <w:rsid w:val="77C21A5F"/>
    <w:rsid w:val="77D23D86"/>
    <w:rsid w:val="78DE14DC"/>
    <w:rsid w:val="792D1E0D"/>
    <w:rsid w:val="79321117"/>
    <w:rsid w:val="79EF62DB"/>
    <w:rsid w:val="7A3A7C0C"/>
    <w:rsid w:val="7A835F66"/>
    <w:rsid w:val="7A8955BC"/>
    <w:rsid w:val="7A9D6576"/>
    <w:rsid w:val="7AAF2916"/>
    <w:rsid w:val="7BBBE85A"/>
    <w:rsid w:val="7BF7B220"/>
    <w:rsid w:val="7C6B4330"/>
    <w:rsid w:val="7DAE1C60"/>
    <w:rsid w:val="7DF68476"/>
    <w:rsid w:val="7EB27B45"/>
    <w:rsid w:val="7F535A03"/>
    <w:rsid w:val="7F7F7558"/>
    <w:rsid w:val="7FFBBF1D"/>
    <w:rsid w:val="9BDF7602"/>
    <w:rsid w:val="A359F53F"/>
    <w:rsid w:val="AF7F22A7"/>
    <w:rsid w:val="B77F6C8E"/>
    <w:rsid w:val="BBDD94B8"/>
    <w:rsid w:val="DDD7D223"/>
    <w:rsid w:val="DFBFAD6C"/>
    <w:rsid w:val="E235E6E6"/>
    <w:rsid w:val="E7FF9D5A"/>
    <w:rsid w:val="EEDB2018"/>
    <w:rsid w:val="EFDD886D"/>
    <w:rsid w:val="EFE74234"/>
    <w:rsid w:val="F6EBF8EA"/>
    <w:rsid w:val="FBF53B4B"/>
    <w:rsid w:val="FC7BB570"/>
    <w:rsid w:val="FEFF4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annotation text"/>
    <w:basedOn w:val="1"/>
    <w:link w:val="17"/>
    <w:uiPriority w:val="0"/>
    <w:pPr>
      <w:jc w:val="left"/>
    </w:pPr>
    <w:rPr>
      <w:rFonts w:cs="Times New Roman"/>
    </w:rPr>
  </w:style>
  <w:style w:type="paragraph" w:styleId="3">
    <w:name w:val="Balloon Text"/>
    <w:basedOn w:val="1"/>
    <w:link w:val="15"/>
    <w:qFormat/>
    <w:uiPriority w:val="0"/>
    <w:rPr>
      <w:rFonts w:cs="Times New Roman"/>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rPr>
      <w:sz w:val="24"/>
    </w:rPr>
  </w:style>
  <w:style w:type="paragraph" w:styleId="7">
    <w:name w:val="annotation subject"/>
    <w:basedOn w:val="2"/>
    <w:next w:val="2"/>
    <w:link w:val="16"/>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
    <w:name w:val="List Paragraph"/>
    <w:basedOn w:val="1"/>
    <w:unhideWhenUsed/>
    <w:uiPriority w:val="99"/>
    <w:pPr>
      <w:ind w:firstLine="420" w:firstLineChars="200"/>
    </w:pPr>
  </w:style>
  <w:style w:type="character" w:customStyle="1" w:styleId="15">
    <w:name w:val="批注框文本 Char"/>
    <w:link w:val="3"/>
    <w:qFormat/>
    <w:uiPriority w:val="0"/>
    <w:rPr>
      <w:rFonts w:ascii="Calibri" w:hAnsi="Calibri" w:cs="黑体"/>
      <w:kern w:val="2"/>
      <w:sz w:val="18"/>
      <w:szCs w:val="18"/>
    </w:rPr>
  </w:style>
  <w:style w:type="character" w:customStyle="1" w:styleId="16">
    <w:name w:val="批注主题 Char"/>
    <w:link w:val="7"/>
    <w:uiPriority w:val="0"/>
    <w:rPr>
      <w:rFonts w:ascii="Calibri" w:hAnsi="Calibri" w:cs="黑体"/>
      <w:b/>
      <w:bCs/>
      <w:kern w:val="2"/>
      <w:sz w:val="21"/>
      <w:szCs w:val="24"/>
    </w:rPr>
  </w:style>
  <w:style w:type="character" w:customStyle="1" w:styleId="17">
    <w:name w:val="批注文字 Char"/>
    <w:link w:val="2"/>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34875</Words>
  <Characters>37100</Characters>
  <Lines>272</Lines>
  <Paragraphs>76</Paragraphs>
  <TotalTime>3</TotalTime>
  <ScaleCrop>false</ScaleCrop>
  <LinksUpToDate>false</LinksUpToDate>
  <CharactersWithSpaces>37498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2022-11-01T19:18:00Z</dcterms:created>
  <dc:creator>Administrator</dc:creator>
  <cp:lastModifiedBy>hccb</cp:lastModifiedBy>
  <dcterms:modified xsi:type="dcterms:W3CDTF">2025-07-24T06:17:57Z</dcterms:modified>
  <dc:title>杭银理财幸福99XXXX理财计划合同</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A70A2227A99B4340974191B47870DEF5</vt:lpwstr>
  </property>
  <property fmtid="{D5CDD505-2E9C-101B-9397-08002B2CF9AE}" pid="3" name="KSOProductBuildVer">
    <vt:lpwstr>2052-11.8.2.8411</vt:lpwstr>
  </property>
</Properties>
</file>