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2" w:name="_GoBack"/>
      <w:r>
        <w:rPr>
          <w:rFonts w:hint="eastAsia" w:ascii="华文仿宋" w:hAnsi="华文仿宋" w:eastAsia="华文仿宋" w:cs="华文仿宋"/>
          <w:b/>
          <w:bCs/>
          <w:sz w:val="32"/>
          <w:szCs w:val="32"/>
          <w:highlight w:val="none"/>
        </w:rPr>
        <w:t>渤银理财财收有略系列固定收益类六个月封闭式理财产品2025年9</w:t>
      </w:r>
      <w:r>
        <w:rPr>
          <w:rFonts w:hint="eastAsia" w:ascii="华文仿宋" w:hAnsi="华文仿宋" w:eastAsia="华文仿宋" w:cs="华文仿宋"/>
          <w:b/>
          <w:bCs/>
          <w:sz w:val="32"/>
          <w:szCs w:val="32"/>
          <w:highlight w:val="none"/>
          <w:lang w:val="en-US" w:eastAsia="zh-CN"/>
        </w:rPr>
        <w:t>4</w:t>
      </w:r>
      <w:r>
        <w:rPr>
          <w:rFonts w:hint="eastAsia" w:ascii="华文仿宋" w:hAnsi="华文仿宋" w:eastAsia="华文仿宋" w:cs="华文仿宋"/>
          <w:b/>
          <w:bCs/>
          <w:sz w:val="32"/>
          <w:szCs w:val="32"/>
          <w:highlight w:val="none"/>
        </w:rPr>
        <w:t>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长沙</w:t>
      </w:r>
      <w:r>
        <w:rPr>
          <w:rFonts w:ascii="宋体" w:hAnsi="宋体" w:eastAsia="宋体"/>
          <w:sz w:val="24"/>
          <w:szCs w:val="24"/>
          <w:highlight w:val="none"/>
        </w:rPr>
        <w:t>银行</w:t>
      </w:r>
      <w:r>
        <w:rPr>
          <w:rFonts w:hint="eastAsia" w:ascii="宋体" w:hAnsi="宋体" w:eastAsia="宋体"/>
          <w:sz w:val="24"/>
          <w:szCs w:val="24"/>
          <w:highlight w:val="none"/>
        </w:rPr>
        <w:t>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rPr>
        <w:t>渤银理财财收有略系列固定收益类六个月封闭式理财产品2025年9</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号产品说明书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产品名称：渤银理财财收有略系列固定收益类六个月封闭式理财产品2025年9</w:t>
            </w:r>
            <w:r>
              <w:rPr>
                <w:rFonts w:hint="eastAsia" w:ascii="宋体" w:hAnsi="宋体" w:eastAsia="宋体"/>
                <w:sz w:val="24"/>
                <w:szCs w:val="24"/>
                <w:highlight w:val="none"/>
                <w:lang w:val="en-US" w:eastAsia="zh-CN"/>
              </w:rPr>
              <w:t>4</w:t>
            </w:r>
            <w:r>
              <w:rPr>
                <w:rFonts w:hint="eastAsia" w:ascii="宋体" w:hAnsi="宋体" w:eastAsia="宋体"/>
                <w:sz w:val="24"/>
                <w:szCs w:val="24"/>
                <w:highlight w:val="none"/>
              </w:rPr>
              <w:t>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产品代码：CSFB6M2509</w:t>
            </w:r>
            <w:r>
              <w:rPr>
                <w:rFonts w:hint="eastAsia" w:ascii="宋体" w:hAnsi="宋体" w:eastAsia="宋体"/>
                <w:sz w:val="24"/>
                <w:szCs w:val="24"/>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A类份额：渤银理财财收有略六个月2025年94号A款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B类份额：财收有略六个月2025年94号B款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类份额：财收有略六个月2025年94号C款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类份额：财收有略六个月2025年94号D款（县域专属）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类份额：财收有略六个月2025年94号E款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CSFB6M25094</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CSFB6M25094</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CSFB6M25094</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CSFB6M25094</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CSFB6M25094</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yellow"/>
              </w:rPr>
            </w:pPr>
            <w:r>
              <w:rPr>
                <w:rFonts w:ascii="宋体" w:hAnsi="宋体" w:eastAsia="宋体" w:cs="宋体"/>
                <w:sz w:val="24"/>
                <w:szCs w:val="24"/>
                <w:highlight w:val="none"/>
              </w:rPr>
              <w:t>Z7008425000</w:t>
            </w:r>
            <w:r>
              <w:rPr>
                <w:rFonts w:hint="eastAsia" w:ascii="宋体" w:hAnsi="宋体" w:eastAsia="宋体" w:cs="宋体"/>
                <w:sz w:val="24"/>
                <w:szCs w:val="24"/>
                <w:highlight w:val="none"/>
                <w:lang w:val="en-US" w:eastAsia="zh-CN"/>
              </w:rPr>
              <w:t>477</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嘉兴银行股份有限公司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温州银行股份有限公司、渤海银行股份有限公司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九江银行</w:t>
            </w:r>
            <w:r>
              <w:rPr>
                <w:rFonts w:hint="eastAsia" w:ascii="宋体" w:hAnsi="宋体" w:eastAsia="宋体"/>
                <w:sz w:val="24"/>
                <w:szCs w:val="24"/>
                <w:highlight w:val="none"/>
              </w:rPr>
              <w:t>股份有限公司</w:t>
            </w:r>
            <w:r>
              <w:rPr>
                <w:rFonts w:hint="eastAsia" w:ascii="宋体" w:hAnsi="宋体" w:eastAsia="宋体"/>
                <w:sz w:val="24"/>
                <w:szCs w:val="24"/>
                <w:highlight w:val="none"/>
                <w:lang w:val="en-US" w:eastAsia="zh-CN"/>
              </w:rPr>
              <w:t>、内蒙古银行股份有限公司、山西银行股份有限公司、长沙银行股份有限公司、天津农村商业银行股份有限公司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盛京银行股份有限公司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15.2亿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3000万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10</w:t>
            </w:r>
            <w:r>
              <w:rPr>
                <w:rFonts w:ascii="宋体" w:hAnsi="宋体" w:eastAsia="宋体"/>
                <w:sz w:val="24"/>
                <w:szCs w:val="24"/>
                <w:highlight w:val="none"/>
              </w:rPr>
              <w:t>】月【</w:t>
            </w:r>
            <w:r>
              <w:rPr>
                <w:rFonts w:hint="eastAsia" w:ascii="宋体" w:hAnsi="宋体" w:eastAsia="宋体"/>
                <w:sz w:val="24"/>
                <w:szCs w:val="24"/>
                <w:highlight w:val="none"/>
                <w:lang w:val="en-US" w:eastAsia="zh-CN"/>
              </w:rPr>
              <w:t>29</w:t>
            </w:r>
            <w:r>
              <w:rPr>
                <w:rFonts w:ascii="宋体" w:hAnsi="宋体" w:eastAsia="宋体"/>
                <w:sz w:val="24"/>
                <w:szCs w:val="24"/>
                <w:highlight w:val="none"/>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5</w:t>
            </w:r>
            <w:r>
              <w:rPr>
                <w:rFonts w:ascii="宋体" w:hAnsi="宋体" w:eastAsia="宋体"/>
                <w:sz w:val="24"/>
                <w:szCs w:val="24"/>
                <w:highlight w:val="none"/>
              </w:rPr>
              <w:t>】日【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6</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6</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w:t>
            </w:r>
            <w:r>
              <w:rPr>
                <w:rFonts w:ascii="宋体" w:hAnsi="宋体" w:eastAsia="宋体"/>
                <w:sz w:val="24"/>
                <w:szCs w:val="24"/>
                <w:highlight w:val="none"/>
              </w:rPr>
              <w:t>】年【</w:t>
            </w:r>
            <w:r>
              <w:rPr>
                <w:rFonts w:hint="eastAsia" w:ascii="宋体" w:hAnsi="宋体" w:eastAsia="宋体"/>
                <w:sz w:val="24"/>
                <w:szCs w:val="24"/>
                <w:highlight w:val="none"/>
                <w:lang w:val="en-US" w:eastAsia="zh-CN"/>
              </w:rPr>
              <w:t>5</w:t>
            </w:r>
            <w:r>
              <w:rPr>
                <w:rFonts w:ascii="宋体" w:hAnsi="宋体" w:eastAsia="宋体"/>
                <w:sz w:val="24"/>
                <w:szCs w:val="24"/>
                <w:highlight w:val="none"/>
              </w:rPr>
              <w:t>】月【</w:t>
            </w:r>
            <w:r>
              <w:rPr>
                <w:rFonts w:hint="eastAsia" w:ascii="宋体" w:hAnsi="宋体" w:eastAsia="宋体"/>
                <w:sz w:val="24"/>
                <w:szCs w:val="24"/>
                <w:highlight w:val="none"/>
                <w:lang w:val="en-US" w:eastAsia="zh-CN"/>
              </w:rPr>
              <w:t>14</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189</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5%-2.</w:t>
            </w:r>
            <w:r>
              <w:rPr>
                <w:rFonts w:hint="eastAsia" w:ascii="宋体" w:hAnsi="宋体" w:eastAsia="宋体"/>
                <w:b/>
                <w:bCs/>
                <w:sz w:val="24"/>
                <w:szCs w:val="24"/>
                <w:highlight w:val="none"/>
                <w:lang w:val="en-US" w:eastAsia="zh-CN"/>
              </w:rPr>
              <w:t>5</w:t>
            </w:r>
            <w:r>
              <w:rPr>
                <w:rFonts w:hint="eastAsia" w:ascii="宋体" w:hAnsi="宋体" w:eastAsia="宋体"/>
                <w:b/>
                <w:bCs/>
                <w:sz w:val="24"/>
                <w:szCs w:val="24"/>
                <w:highlight w:val="none"/>
              </w:rPr>
              <w:t>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年化【2.20%-2.50%】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年化【2.35%-2.65%】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年化【2.20%-2.50%】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年化【2.45%-2.75%】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测算依据：本理财产品为固定收益类产品，以产品投资债券类资产仓位50%-100%，权益类资产仓位0-10%，组合杠杆率100%-140%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2.50</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0.25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0.01</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ascii="宋体" w:hAnsi="宋体" w:eastAsia="宋体"/>
          <w:b/>
          <w:bCs/>
          <w:sz w:val="24"/>
          <w:szCs w:val="24"/>
        </w:rPr>
      </w:pPr>
      <w:r>
        <w:rPr>
          <w:rFonts w:hint="eastAsia" w:ascii="宋体" w:hAnsi="宋体" w:eastAsia="宋体"/>
          <w:sz w:val="24"/>
          <w:szCs w:val="24"/>
        </w:rPr>
        <w:t>（一）投资目标</w:t>
      </w:r>
    </w:p>
    <w:p>
      <w:pPr>
        <w:spacing w:line="300" w:lineRule="auto"/>
        <w:ind w:firstLine="480" w:firstLineChars="200"/>
        <w:jc w:val="left"/>
        <w:rPr>
          <w:rFonts w:ascii="宋体" w:hAnsi="宋体" w:eastAsia="宋体"/>
          <w:sz w:val="24"/>
          <w:szCs w:val="24"/>
          <w:highlight w:val="yellow"/>
        </w:rPr>
      </w:pPr>
      <w:r>
        <w:rPr>
          <w:rFonts w:hint="eastAsia" w:ascii="宋体" w:hAnsi="宋体" w:eastAsia="宋体"/>
          <w:sz w:val="24"/>
          <w:szCs w:val="24"/>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ascii="宋体" w:hAnsi="宋体" w:eastAsia="宋体"/>
          <w:sz w:val="24"/>
          <w:szCs w:val="24"/>
        </w:rPr>
      </w:pPr>
      <w:r>
        <w:rPr>
          <w:rFonts w:hint="eastAsia" w:ascii="宋体" w:hAnsi="宋体" w:eastAsia="宋体"/>
          <w:sz w:val="24"/>
          <w:szCs w:val="24"/>
        </w:rPr>
        <w:t>（二）投资范围和投资比例</w:t>
      </w:r>
    </w:p>
    <w:p>
      <w:pPr>
        <w:spacing w:line="300" w:lineRule="auto"/>
        <w:ind w:firstLine="480" w:firstLineChars="200"/>
        <w:jc w:val="left"/>
        <w:outlineLvl w:val="2"/>
        <w:rPr>
          <w:rFonts w:ascii="宋体" w:hAnsi="宋体" w:eastAsia="宋体"/>
          <w:sz w:val="24"/>
          <w:szCs w:val="24"/>
        </w:rPr>
      </w:pPr>
      <w:r>
        <w:rPr>
          <w:rFonts w:hint="eastAsia" w:ascii="宋体" w:hAnsi="宋体" w:eastAsia="宋体"/>
          <w:sz w:val="24"/>
          <w:szCs w:val="24"/>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理财直接融资工具、收益凭证，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ascii="宋体" w:hAnsi="宋体" w:eastAsia="宋体"/>
          <w:sz w:val="24"/>
          <w:szCs w:val="24"/>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ascii="宋体" w:hAnsi="宋体" w:eastAsia="宋体"/>
          <w:sz w:val="24"/>
          <w:szCs w:val="24"/>
        </w:rPr>
      </w:pPr>
      <w:r>
        <w:rPr>
          <w:rFonts w:hint="eastAsia" w:ascii="宋体" w:hAnsi="宋体" w:eastAsia="宋体"/>
          <w:sz w:val="24"/>
          <w:szCs w:val="24"/>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rPr>
        <w:t>前2个工作日</w:t>
      </w:r>
      <w:r>
        <w:rPr>
          <w:rFonts w:hint="eastAsia" w:ascii="宋体" w:hAnsi="宋体" w:eastAsia="宋体"/>
          <w:sz w:val="24"/>
          <w:szCs w:val="24"/>
        </w:rPr>
        <w:t>公告。</w:t>
      </w:r>
      <w:r>
        <w:rPr>
          <w:rFonts w:hint="eastAsia" w:ascii="宋体" w:hAnsi="宋体" w:eastAsia="宋体"/>
          <w:b/>
          <w:bCs/>
          <w:sz w:val="24"/>
          <w:szCs w:val="24"/>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ascii="宋体" w:hAnsi="宋体" w:eastAsia="宋体"/>
          <w:b/>
          <w:bCs/>
          <w:sz w:val="24"/>
          <w:szCs w:val="24"/>
        </w:rPr>
      </w:pPr>
      <w:r>
        <w:rPr>
          <w:rFonts w:hint="eastAsia" w:ascii="宋体" w:hAnsi="宋体" w:eastAsia="宋体"/>
          <w:b/>
          <w:bCs/>
          <w:sz w:val="24"/>
          <w:szCs w:val="24"/>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ascii="宋体" w:hAnsi="宋体" w:eastAsia="宋体"/>
          <w:sz w:val="24"/>
          <w:szCs w:val="24"/>
          <w:lang w:bidi="ar"/>
        </w:rPr>
      </w:pPr>
      <w:r>
        <w:rPr>
          <w:rFonts w:hint="eastAsia" w:ascii="宋体" w:hAnsi="宋体" w:eastAsia="宋体"/>
          <w:sz w:val="24"/>
          <w:szCs w:val="24"/>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w:t>
      </w:r>
    </w:p>
    <w:p>
      <w:pPr>
        <w:ind w:firstLine="480" w:firstLineChars="200"/>
        <w:jc w:val="left"/>
        <w:rPr>
          <w:rFonts w:hint="eastAsia" w:ascii="宋体" w:hAnsi="宋体" w:eastAsia="宋体"/>
          <w:sz w:val="24"/>
          <w:szCs w:val="24"/>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ascii="宋体" w:hAnsi="宋体" w:eastAsia="宋体"/>
          <w:sz w:val="24"/>
          <w:szCs w:val="24"/>
        </w:rPr>
      </w:pPr>
      <w:r>
        <w:rPr>
          <w:rFonts w:hint="eastAsia" w:ascii="宋体" w:hAnsi="宋体" w:eastAsia="宋体"/>
          <w:sz w:val="24"/>
          <w:szCs w:val="24"/>
        </w:rPr>
        <w:t>本理财产品建仓期为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hint="eastAsia" w:ascii="宋体" w:hAnsi="宋体" w:eastAsia="宋体"/>
          <w:sz w:val="24"/>
          <w:szCs w:val="24"/>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rPr>
        <w:t>除上述情形外，非因产品管理人主观因素导致突破前述比例限制的，产品管理人将在流动性受限资产可出售、可转让或者恢复交易的</w:t>
      </w:r>
      <w:r>
        <w:rPr>
          <w:rFonts w:ascii="宋体" w:hAnsi="宋体" w:eastAsia="宋体"/>
          <w:sz w:val="24"/>
          <w:szCs w:val="24"/>
        </w:rPr>
        <w:t>15</w:t>
      </w:r>
      <w:r>
        <w:rPr>
          <w:rFonts w:hint="eastAsia" w:ascii="宋体" w:hAnsi="宋体" w:eastAsia="宋体"/>
          <w:sz w:val="24"/>
          <w:szCs w:val="24"/>
        </w:rPr>
        <w:t>个交易日内调整至符合相关要求，国务院银行业监督管理机构规定的特殊情形除外。</w:t>
      </w:r>
    </w:p>
    <w:p>
      <w:pPr>
        <w:numPr>
          <w:ilvl w:val="0"/>
          <w:numId w:val="6"/>
        </w:numPr>
        <w:spacing w:line="300" w:lineRule="auto"/>
        <w:outlineLvl w:val="1"/>
        <w:rPr>
          <w:rFonts w:ascii="宋体" w:hAnsi="宋体" w:eastAsia="宋体"/>
          <w:sz w:val="24"/>
          <w:szCs w:val="24"/>
        </w:rPr>
      </w:pPr>
      <w:r>
        <w:rPr>
          <w:rFonts w:hint="eastAsia" w:ascii="宋体" w:hAnsi="宋体" w:eastAsia="宋体"/>
          <w:sz w:val="24"/>
          <w:szCs w:val="24"/>
        </w:rPr>
        <w:t>投资策略</w:t>
      </w:r>
    </w:p>
    <w:p>
      <w:pPr>
        <w:numPr>
          <w:ilvl w:val="-1"/>
          <w:numId w:val="0"/>
        </w:numPr>
        <w:spacing w:line="300" w:lineRule="auto"/>
        <w:ind w:firstLine="480" w:firstLineChars="200"/>
        <w:jc w:val="left"/>
        <w:outlineLvl w:val="1"/>
        <w:rPr>
          <w:rFonts w:hint="eastAsia" w:ascii="宋体" w:hAnsi="宋体" w:eastAsia="宋体"/>
          <w:sz w:val="24"/>
          <w:szCs w:val="24"/>
        </w:rPr>
      </w:pPr>
      <w:r>
        <w:rPr>
          <w:rFonts w:hint="eastAsia" w:ascii="宋体" w:hAnsi="宋体" w:eastAsia="宋体"/>
          <w:sz w:val="24"/>
          <w:szCs w:val="24"/>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rPr>
      </w:pPr>
      <w:r>
        <w:rPr>
          <w:rFonts w:hint="eastAsia" w:ascii="宋体" w:hAnsi="宋体" w:eastAsia="宋体"/>
          <w:sz w:val="24"/>
          <w:szCs w:val="24"/>
          <w:lang w:eastAsia="zh-CN"/>
        </w:rPr>
        <w:t>1</w:t>
      </w:r>
      <w:r>
        <w:rPr>
          <w:rFonts w:hint="eastAsia" w:ascii="宋体" w:hAnsi="宋体" w:eastAsia="宋体"/>
          <w:sz w:val="24"/>
          <w:szCs w:val="24"/>
          <w:lang w:val="en-US" w:eastAsia="zh-CN"/>
        </w:rPr>
        <w:t>.</w:t>
      </w:r>
      <w:r>
        <w:rPr>
          <w:rFonts w:hint="eastAsia" w:ascii="宋体" w:hAnsi="宋体" w:eastAsia="宋体"/>
          <w:sz w:val="24"/>
          <w:szCs w:val="24"/>
        </w:rPr>
        <w:t>配置策略</w:t>
      </w:r>
    </w:p>
    <w:p>
      <w:pPr>
        <w:numPr>
          <w:ilvl w:val="-1"/>
          <w:numId w:val="0"/>
        </w:numPr>
        <w:spacing w:line="300" w:lineRule="auto"/>
        <w:ind w:firstLine="480" w:firstLineChars="200"/>
        <w:jc w:val="left"/>
        <w:outlineLvl w:val="1"/>
        <w:rPr>
          <w:rFonts w:hint="eastAsia" w:ascii="宋体" w:hAnsi="宋体" w:eastAsia="宋体"/>
          <w:sz w:val="24"/>
          <w:szCs w:val="24"/>
        </w:rPr>
      </w:pPr>
      <w:r>
        <w:rPr>
          <w:rFonts w:hint="eastAsia" w:ascii="宋体" w:hAnsi="宋体" w:eastAsia="宋体"/>
          <w:sz w:val="24"/>
          <w:szCs w:val="24"/>
        </w:rPr>
        <w:t>以持有标准化债权资产至到期为目的，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rPr>
      </w:pPr>
      <w:r>
        <w:rPr>
          <w:rFonts w:hint="eastAsia" w:ascii="宋体" w:hAnsi="宋体" w:eastAsia="宋体"/>
          <w:sz w:val="24"/>
          <w:szCs w:val="24"/>
          <w:lang w:eastAsia="zh-CN"/>
        </w:rPr>
        <w:t>2</w:t>
      </w:r>
      <w:r>
        <w:rPr>
          <w:rFonts w:hint="eastAsia" w:ascii="宋体" w:hAnsi="宋体" w:eastAsia="宋体"/>
          <w:sz w:val="24"/>
          <w:szCs w:val="24"/>
          <w:lang w:val="en-US" w:eastAsia="zh-CN"/>
        </w:rPr>
        <w:t>.</w:t>
      </w:r>
      <w:r>
        <w:rPr>
          <w:rFonts w:hint="eastAsia" w:ascii="宋体" w:hAnsi="宋体" w:eastAsia="宋体"/>
          <w:sz w:val="24"/>
          <w:szCs w:val="24"/>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rPr>
      </w:pPr>
      <w:r>
        <w:rPr>
          <w:rFonts w:hint="eastAsia" w:ascii="宋体" w:hAnsi="宋体" w:eastAsia="宋体"/>
          <w:sz w:val="24"/>
          <w:szCs w:val="24"/>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rPr>
      </w:pPr>
      <w:r>
        <w:rPr>
          <w:rFonts w:hint="eastAsia" w:ascii="宋体" w:hAnsi="宋体" w:eastAsia="宋体"/>
          <w:sz w:val="24"/>
          <w:szCs w:val="24"/>
          <w:lang w:eastAsia="zh-CN"/>
        </w:rPr>
        <w:t>3</w:t>
      </w:r>
      <w:r>
        <w:rPr>
          <w:rFonts w:hint="eastAsia" w:ascii="宋体" w:hAnsi="宋体" w:eastAsia="宋体"/>
          <w:sz w:val="24"/>
          <w:szCs w:val="24"/>
          <w:lang w:val="en-US" w:eastAsia="zh-CN"/>
        </w:rPr>
        <w:t>.</w:t>
      </w:r>
      <w:r>
        <w:rPr>
          <w:rFonts w:hint="eastAsia" w:ascii="宋体" w:hAnsi="宋体" w:eastAsia="宋体"/>
          <w:sz w:val="24"/>
          <w:szCs w:val="24"/>
        </w:rPr>
        <w:t>交易策略</w:t>
      </w:r>
    </w:p>
    <w:p>
      <w:pPr>
        <w:numPr>
          <w:ilvl w:val="255"/>
          <w:numId w:val="0"/>
        </w:numPr>
        <w:spacing w:line="300" w:lineRule="auto"/>
        <w:ind w:firstLine="480" w:firstLineChars="200"/>
        <w:jc w:val="left"/>
        <w:outlineLvl w:val="1"/>
        <w:rPr>
          <w:rFonts w:ascii="宋体" w:hAnsi="宋体" w:eastAsia="宋体"/>
          <w:sz w:val="24"/>
          <w:szCs w:val="24"/>
          <w:highlight w:val="yellow"/>
        </w:rPr>
      </w:pPr>
      <w:r>
        <w:rPr>
          <w:rFonts w:hint="eastAsia" w:ascii="宋体" w:hAnsi="宋体" w:eastAsia="宋体"/>
          <w:sz w:val="24"/>
          <w:szCs w:val="24"/>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jc w:val="left"/>
        <w:outlineLvl w:val="1"/>
        <w:rPr>
          <w:rFonts w:ascii="宋体" w:hAnsi="宋体" w:eastAsia="宋体"/>
          <w:sz w:val="24"/>
          <w:szCs w:val="24"/>
        </w:rPr>
      </w:pPr>
      <w:r>
        <w:rPr>
          <w:rFonts w:hint="eastAsia" w:ascii="宋体" w:hAnsi="宋体" w:eastAsia="宋体"/>
          <w:sz w:val="24"/>
          <w:szCs w:val="24"/>
        </w:rPr>
        <w:t>（四）投资限制</w:t>
      </w:r>
    </w:p>
    <w:p>
      <w:pPr>
        <w:spacing w:line="300" w:lineRule="auto"/>
        <w:ind w:firstLine="480" w:firstLineChars="200"/>
        <w:jc w:val="left"/>
        <w:rPr>
          <w:rFonts w:ascii="宋体" w:hAnsi="宋体" w:eastAsia="宋体"/>
          <w:sz w:val="24"/>
          <w:szCs w:val="24"/>
        </w:rPr>
      </w:pPr>
      <w:r>
        <w:rPr>
          <w:rFonts w:ascii="宋体" w:hAnsi="宋体" w:eastAsia="宋体"/>
          <w:sz w:val="24"/>
          <w:szCs w:val="24"/>
        </w:rPr>
        <w:t>1.本理财产品的杠杆水平不超过200%。</w:t>
      </w:r>
    </w:p>
    <w:p>
      <w:pPr>
        <w:spacing w:line="300" w:lineRule="auto"/>
        <w:ind w:firstLine="480" w:firstLineChars="200"/>
        <w:jc w:val="left"/>
        <w:rPr>
          <w:rFonts w:ascii="宋体" w:hAnsi="宋体" w:eastAsia="宋体"/>
          <w:sz w:val="24"/>
          <w:szCs w:val="24"/>
        </w:rPr>
      </w:pPr>
      <w:r>
        <w:rPr>
          <w:rFonts w:ascii="宋体" w:hAnsi="宋体" w:eastAsia="宋体"/>
          <w:sz w:val="24"/>
          <w:szCs w:val="24"/>
        </w:rPr>
        <w:t>2.本理财产品投资于单只证券、单只公募证券投资基金的市值不超过本产品净资产</w:t>
      </w:r>
      <w:r>
        <w:rPr>
          <w:rFonts w:hint="eastAsia" w:ascii="宋体" w:hAnsi="宋体" w:eastAsia="宋体"/>
          <w:sz w:val="24"/>
          <w:szCs w:val="24"/>
        </w:rPr>
        <w:t>的</w:t>
      </w:r>
      <w:r>
        <w:rPr>
          <w:rFonts w:ascii="宋体" w:hAnsi="宋体" w:eastAsia="宋体"/>
          <w:sz w:val="24"/>
          <w:szCs w:val="24"/>
        </w:rPr>
        <w:t>10%</w:t>
      </w:r>
      <w:r>
        <w:rPr>
          <w:rFonts w:hint="eastAsia" w:ascii="宋体" w:hAnsi="宋体" w:eastAsia="宋体"/>
          <w:sz w:val="24"/>
          <w:szCs w:val="24"/>
        </w:rPr>
        <w:t>，</w:t>
      </w:r>
      <w:r>
        <w:rPr>
          <w:rFonts w:ascii="宋体" w:hAnsi="宋体" w:eastAsia="宋体"/>
          <w:sz w:val="24"/>
          <w:szCs w:val="24"/>
        </w:rPr>
        <w:t>国债、地方政府债券、中央银行票据、政府机构债券、政策性</w:t>
      </w:r>
      <w:r>
        <w:rPr>
          <w:rFonts w:hint="eastAsia" w:ascii="宋体" w:hAnsi="宋体" w:eastAsia="宋体"/>
          <w:sz w:val="24"/>
          <w:szCs w:val="24"/>
        </w:rPr>
        <w:t>金融债券除外。</w:t>
      </w:r>
    </w:p>
    <w:p>
      <w:pPr>
        <w:spacing w:line="300" w:lineRule="auto"/>
        <w:ind w:firstLine="480" w:firstLineChars="200"/>
        <w:jc w:val="left"/>
        <w:rPr>
          <w:rFonts w:ascii="宋体" w:hAnsi="宋体" w:eastAsia="宋体"/>
          <w:sz w:val="24"/>
          <w:szCs w:val="24"/>
        </w:rPr>
      </w:pPr>
      <w:r>
        <w:rPr>
          <w:rFonts w:hint="eastAsia" w:ascii="宋体" w:hAnsi="宋体" w:eastAsia="宋体"/>
          <w:sz w:val="24"/>
          <w:szCs w:val="24"/>
        </w:rPr>
        <w:t>非因产品管理人主观因素导致不符合前述第</w:t>
      </w:r>
      <w:r>
        <w:rPr>
          <w:rFonts w:ascii="宋体" w:hAnsi="宋体" w:eastAsia="宋体"/>
          <w:sz w:val="24"/>
          <w:szCs w:val="24"/>
        </w:rPr>
        <w:t>2条比例限制的，</w:t>
      </w:r>
      <w:r>
        <w:rPr>
          <w:rFonts w:hint="eastAsia" w:ascii="宋体" w:hAnsi="宋体" w:eastAsia="宋体"/>
          <w:sz w:val="24"/>
          <w:szCs w:val="24"/>
        </w:rPr>
        <w:t>产品</w:t>
      </w:r>
      <w:r>
        <w:rPr>
          <w:rFonts w:ascii="宋体" w:hAnsi="宋体" w:eastAsia="宋体"/>
          <w:sz w:val="24"/>
          <w:szCs w:val="24"/>
        </w:rPr>
        <w:t>管理人将在流动性受限资产</w:t>
      </w:r>
      <w:r>
        <w:rPr>
          <w:rFonts w:hint="eastAsia" w:ascii="宋体" w:hAnsi="宋体" w:eastAsia="宋体"/>
          <w:sz w:val="24"/>
          <w:szCs w:val="24"/>
        </w:rPr>
        <w:t>可出售、可转让或者恢复交易的</w:t>
      </w:r>
      <w:r>
        <w:rPr>
          <w:rFonts w:ascii="宋体" w:hAnsi="宋体" w:eastAsia="宋体"/>
          <w:sz w:val="24"/>
          <w:szCs w:val="24"/>
        </w:rPr>
        <w:t>1</w:t>
      </w:r>
      <w:r>
        <w:rPr>
          <w:rFonts w:hint="eastAsia" w:ascii="宋体" w:hAnsi="宋体" w:eastAsia="宋体"/>
          <w:sz w:val="24"/>
          <w:szCs w:val="24"/>
        </w:rPr>
        <w:t>0</w:t>
      </w:r>
      <w:r>
        <w:rPr>
          <w:rFonts w:ascii="宋体" w:hAnsi="宋体" w:eastAsia="宋体"/>
          <w:sz w:val="24"/>
          <w:szCs w:val="24"/>
        </w:rPr>
        <w:t>个交易日内调整至符合相关要求，国务院银行业监督管</w:t>
      </w:r>
      <w:r>
        <w:rPr>
          <w:rFonts w:hint="eastAsia" w:ascii="宋体" w:hAnsi="宋体" w:eastAsia="宋体"/>
          <w:sz w:val="24"/>
          <w:szCs w:val="24"/>
        </w:rPr>
        <w:t>理机构规定的特殊情形除外。</w:t>
      </w:r>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10</w:t>
      </w:r>
      <w:r>
        <w:rPr>
          <w:rFonts w:ascii="宋体" w:hAnsi="宋体" w:eastAsia="宋体"/>
          <w:sz w:val="24"/>
          <w:szCs w:val="24"/>
          <w:highlight w:val="none"/>
        </w:rPr>
        <w:t>】月【</w:t>
      </w:r>
      <w:r>
        <w:rPr>
          <w:rFonts w:hint="eastAsia" w:ascii="宋体" w:hAnsi="宋体" w:eastAsia="宋体"/>
          <w:sz w:val="24"/>
          <w:szCs w:val="24"/>
          <w:highlight w:val="none"/>
          <w:lang w:val="en-US" w:eastAsia="zh-CN"/>
        </w:rPr>
        <w:t>29</w:t>
      </w:r>
      <w:r>
        <w:rPr>
          <w:rFonts w:ascii="宋体" w:hAnsi="宋体" w:eastAsia="宋体"/>
          <w:sz w:val="24"/>
          <w:szCs w:val="24"/>
          <w:highlight w:val="none"/>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val="en-US" w:eastAsia="zh-CN"/>
        </w:rPr>
        <w:t>2025</w:t>
      </w:r>
      <w:r>
        <w:rPr>
          <w:rFonts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ascii="宋体" w:hAnsi="宋体" w:eastAsia="宋体"/>
          <w:sz w:val="24"/>
          <w:szCs w:val="24"/>
          <w:highlight w:val="none"/>
        </w:rPr>
        <w:t>】月【</w:t>
      </w:r>
      <w:r>
        <w:rPr>
          <w:rFonts w:hint="eastAsia" w:ascii="宋体" w:hAnsi="宋体" w:eastAsia="宋体"/>
          <w:sz w:val="24"/>
          <w:szCs w:val="24"/>
          <w:highlight w:val="none"/>
          <w:lang w:val="en-US" w:eastAsia="zh-CN"/>
        </w:rPr>
        <w:t>5</w:t>
      </w:r>
      <w:r>
        <w:rPr>
          <w:rFonts w:ascii="宋体" w:hAnsi="宋体" w:eastAsia="宋体"/>
          <w:sz w:val="24"/>
          <w:szCs w:val="24"/>
          <w:highlight w:val="none"/>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7"/>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0"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0"/>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银行股份有限公司，地址为</w:t>
      </w:r>
      <w:r>
        <w:rPr>
          <w:rFonts w:hint="eastAsia" w:ascii="宋体" w:hAnsi="宋体" w:eastAsia="宋体"/>
          <w:sz w:val="24"/>
          <w:szCs w:val="24"/>
          <w:highlight w:val="none"/>
          <w:lang w:val="en-US" w:eastAsia="zh-CN"/>
        </w:rPr>
        <w:t>湖南省长沙市岳麓区滨江路53号楷林商务中心B座</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1"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兴业</w:t>
      </w:r>
      <w:r>
        <w:rPr>
          <w:rFonts w:hint="eastAsia" w:ascii="宋体" w:hAnsi="宋体" w:eastAsia="宋体"/>
          <w:sz w:val="24"/>
          <w:szCs w:val="24"/>
        </w:rPr>
        <w:t>银行股份有限公司，住所：</w:t>
      </w:r>
      <w:r>
        <w:rPr>
          <w:rFonts w:hint="eastAsia" w:ascii="宋体" w:hAnsi="宋体" w:eastAsia="宋体" w:cstheme="minorBidi"/>
          <w:i w:val="0"/>
          <w:caps w:val="0"/>
          <w:color w:val="auto"/>
          <w:spacing w:val="0"/>
          <w:sz w:val="24"/>
          <w:szCs w:val="24"/>
        </w:rPr>
        <w:t>福州市台江区江滨中大道398号兴业银行大厦</w:t>
      </w:r>
      <w:r>
        <w:rPr>
          <w:rFonts w:ascii="宋体" w:hAnsi="宋体" w:eastAsia="宋体"/>
          <w:sz w:val="24"/>
          <w:szCs w:val="24"/>
        </w:rPr>
        <w:t>，客户服务热线</w:t>
      </w:r>
      <w:r>
        <w:rPr>
          <w:rFonts w:hint="eastAsia" w:ascii="宋体" w:hAnsi="宋体" w:eastAsia="宋体"/>
          <w:sz w:val="24"/>
          <w:szCs w:val="24"/>
        </w:rPr>
        <w:t>：</w:t>
      </w:r>
      <w:r>
        <w:rPr>
          <w:rFonts w:ascii="宋体" w:hAnsi="宋体" w:eastAsia="宋体"/>
          <w:sz w:val="24"/>
          <w:szCs w:val="24"/>
        </w:rPr>
        <w:t>955</w:t>
      </w:r>
      <w:r>
        <w:rPr>
          <w:rFonts w:hint="eastAsia" w:ascii="宋体" w:hAnsi="宋体" w:eastAsia="宋体"/>
          <w:sz w:val="24"/>
          <w:szCs w:val="24"/>
          <w:lang w:val="en-US" w:eastAsia="zh-CN"/>
        </w:rPr>
        <w:t>61。</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rPr>
        <w:t>温州银行股份有限公司</w:t>
      </w:r>
      <w:r>
        <w:rPr>
          <w:rFonts w:hint="eastAsia" w:ascii="宋体" w:hAnsi="宋体" w:eastAsia="宋体"/>
          <w:sz w:val="24"/>
          <w:szCs w:val="24"/>
          <w:highlight w:val="none"/>
          <w:lang w:eastAsia="zh-CN"/>
        </w:rPr>
        <w:t>，</w:t>
      </w:r>
      <w:r>
        <w:rPr>
          <w:rFonts w:hint="eastAsia" w:ascii="宋体" w:hAnsi="宋体" w:eastAsia="宋体"/>
          <w:sz w:val="24"/>
          <w:szCs w:val="24"/>
        </w:rPr>
        <w:t>住所：浙江省温州市鹿城区会展路1316号</w:t>
      </w:r>
      <w:r>
        <w:rPr>
          <w:rFonts w:hint="eastAsia" w:ascii="宋体" w:hAnsi="宋体" w:eastAsia="宋体"/>
          <w:sz w:val="24"/>
          <w:szCs w:val="24"/>
          <w:lang w:eastAsia="zh-CN"/>
        </w:rPr>
        <w:t>，</w:t>
      </w:r>
      <w:r>
        <w:rPr>
          <w:rFonts w:ascii="宋体" w:hAnsi="宋体" w:eastAsia="宋体"/>
          <w:sz w:val="24"/>
          <w:szCs w:val="24"/>
        </w:rPr>
        <w:t>客户服务热线</w:t>
      </w:r>
      <w:r>
        <w:rPr>
          <w:rFonts w:hint="eastAsia" w:ascii="宋体" w:hAnsi="宋体" w:eastAsia="宋体"/>
          <w:sz w:val="24"/>
          <w:szCs w:val="24"/>
        </w:rPr>
        <w:t>：0577-96699</w:t>
      </w:r>
      <w:r>
        <w:rPr>
          <w:rFonts w:hint="eastAsia" w:ascii="宋体" w:hAnsi="宋体" w:eastAsia="宋体"/>
          <w:sz w:val="24"/>
          <w:szCs w:val="24"/>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九江银行股份有限公司，住所：江西省九江市濂溪区长虹大道619号，客户服务热线：95316。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内蒙古银行股份有限公司，住所：呼和浩特市赛罕区腾飞南路33号，客户服务热线：40005-96019。</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天津农村商业银行股份有限公司，住所</w:t>
      </w:r>
      <w:r>
        <w:rPr>
          <w:rFonts w:hint="eastAsia" w:ascii="宋体" w:hAnsi="宋体" w:eastAsia="宋体"/>
          <w:sz w:val="24"/>
          <w:szCs w:val="24"/>
          <w:highlight w:val="none"/>
          <w:lang w:eastAsia="zh-CN"/>
        </w:rPr>
        <w:t>：天津市河西区友谊路32号</w:t>
      </w:r>
      <w:r>
        <w:rPr>
          <w:rFonts w:ascii="宋体" w:hAnsi="宋体" w:eastAsia="宋体"/>
          <w:sz w:val="24"/>
          <w:szCs w:val="24"/>
          <w:highlight w:val="none"/>
        </w:rPr>
        <w:t>，客户服务热线</w:t>
      </w:r>
      <w:r>
        <w:rPr>
          <w:rFonts w:hint="eastAsia" w:ascii="宋体" w:hAnsi="宋体" w:eastAsia="宋体"/>
          <w:sz w:val="24"/>
          <w:szCs w:val="24"/>
          <w:highlight w:val="none"/>
          <w:lang w:eastAsia="zh-CN"/>
        </w:rPr>
        <w:t>：022-96155</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盛京</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住所</w:t>
      </w:r>
      <w:r>
        <w:rPr>
          <w:rFonts w:hint="eastAsia" w:ascii="宋体" w:hAnsi="宋体" w:eastAsia="宋体"/>
          <w:sz w:val="24"/>
          <w:szCs w:val="24"/>
        </w:rPr>
        <w:t>：</w:t>
      </w:r>
      <w:r>
        <w:rPr>
          <w:rFonts w:hint="eastAsia" w:ascii="宋体" w:hAnsi="宋体" w:eastAsia="宋体"/>
          <w:sz w:val="24"/>
          <w:szCs w:val="24"/>
          <w:highlight w:val="none"/>
          <w:lang w:val="en-US" w:eastAsia="zh-CN"/>
        </w:rPr>
        <w:t>沈阳市沈河区北站路109号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95337</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1"/>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C507B729"/>
    <w:multiLevelType w:val="singleLevel"/>
    <w:tmpl w:val="C507B729"/>
    <w:lvl w:ilvl="0" w:tentative="0">
      <w:start w:val="4"/>
      <w:numFmt w:val="decimal"/>
      <w:lvlText w:val="%1."/>
      <w:lvlJc w:val="left"/>
      <w:pPr>
        <w:tabs>
          <w:tab w:val="left" w:pos="312"/>
        </w:tabs>
      </w:pPr>
    </w:lvl>
  </w:abstractNum>
  <w:abstractNum w:abstractNumId="2">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5">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6">
    <w:nsid w:val="57E61E1F"/>
    <w:multiLevelType w:val="singleLevel"/>
    <w:tmpl w:val="57E61E1F"/>
    <w:lvl w:ilvl="0" w:tentative="0">
      <w:start w:val="1"/>
      <w:numFmt w:val="chineseCounting"/>
      <w:suff w:val="nothing"/>
      <w:lvlText w:val="（%1）"/>
      <w:lvlJc w:val="left"/>
      <w:rPr>
        <w:rFonts w:hint="eastAsia"/>
      </w:rPr>
    </w:lvl>
  </w:abstractNum>
  <w:abstractNum w:abstractNumId="7">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B5B"/>
    <w:rsid w:val="0053234A"/>
    <w:rsid w:val="005335D7"/>
    <w:rsid w:val="00534088"/>
    <w:rsid w:val="00542C95"/>
    <w:rsid w:val="0055047D"/>
    <w:rsid w:val="00567A24"/>
    <w:rsid w:val="00574352"/>
    <w:rsid w:val="00582F7A"/>
    <w:rsid w:val="0059165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1258"/>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71587"/>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3A07AC"/>
    <w:rsid w:val="01CC68D5"/>
    <w:rsid w:val="01FE50BC"/>
    <w:rsid w:val="02300265"/>
    <w:rsid w:val="02377367"/>
    <w:rsid w:val="0240285E"/>
    <w:rsid w:val="02536EB3"/>
    <w:rsid w:val="027628C1"/>
    <w:rsid w:val="02BE378E"/>
    <w:rsid w:val="02CD4500"/>
    <w:rsid w:val="02E65CAB"/>
    <w:rsid w:val="03136847"/>
    <w:rsid w:val="032125FF"/>
    <w:rsid w:val="032E18D0"/>
    <w:rsid w:val="033011B9"/>
    <w:rsid w:val="03542B62"/>
    <w:rsid w:val="0374404F"/>
    <w:rsid w:val="03993696"/>
    <w:rsid w:val="03A34738"/>
    <w:rsid w:val="03D6609D"/>
    <w:rsid w:val="04117D09"/>
    <w:rsid w:val="041C0CB1"/>
    <w:rsid w:val="04D141CD"/>
    <w:rsid w:val="04E93371"/>
    <w:rsid w:val="04EF5420"/>
    <w:rsid w:val="05181349"/>
    <w:rsid w:val="05386D2F"/>
    <w:rsid w:val="055B7332"/>
    <w:rsid w:val="056A798D"/>
    <w:rsid w:val="056F50C1"/>
    <w:rsid w:val="059A230B"/>
    <w:rsid w:val="05AF7B68"/>
    <w:rsid w:val="05BE29A4"/>
    <w:rsid w:val="05C704BC"/>
    <w:rsid w:val="05F00BCD"/>
    <w:rsid w:val="06035414"/>
    <w:rsid w:val="06040F9A"/>
    <w:rsid w:val="06170810"/>
    <w:rsid w:val="0622594A"/>
    <w:rsid w:val="062B4B0A"/>
    <w:rsid w:val="063C3FE7"/>
    <w:rsid w:val="066B5F00"/>
    <w:rsid w:val="0675224B"/>
    <w:rsid w:val="067B28EF"/>
    <w:rsid w:val="067E3EB5"/>
    <w:rsid w:val="06CD4B74"/>
    <w:rsid w:val="072314C0"/>
    <w:rsid w:val="074D4BD8"/>
    <w:rsid w:val="077547A1"/>
    <w:rsid w:val="078411C8"/>
    <w:rsid w:val="079E00C6"/>
    <w:rsid w:val="07A42E2C"/>
    <w:rsid w:val="07B363A1"/>
    <w:rsid w:val="07ED7261"/>
    <w:rsid w:val="087D641E"/>
    <w:rsid w:val="08A07369"/>
    <w:rsid w:val="08D67DE6"/>
    <w:rsid w:val="091B36AE"/>
    <w:rsid w:val="098C148C"/>
    <w:rsid w:val="09907294"/>
    <w:rsid w:val="09D50074"/>
    <w:rsid w:val="09DD0B13"/>
    <w:rsid w:val="09EA1F2A"/>
    <w:rsid w:val="0A0134D2"/>
    <w:rsid w:val="0A025FF9"/>
    <w:rsid w:val="0A2850F6"/>
    <w:rsid w:val="0A3026BA"/>
    <w:rsid w:val="0A4A3AE2"/>
    <w:rsid w:val="0A6B190B"/>
    <w:rsid w:val="0A9C5B25"/>
    <w:rsid w:val="0AC35E88"/>
    <w:rsid w:val="0B3B3C49"/>
    <w:rsid w:val="0B552CB2"/>
    <w:rsid w:val="0B66661D"/>
    <w:rsid w:val="0B7877C8"/>
    <w:rsid w:val="0B8F4228"/>
    <w:rsid w:val="0BC62F1C"/>
    <w:rsid w:val="0BE97A81"/>
    <w:rsid w:val="0C576560"/>
    <w:rsid w:val="0C933759"/>
    <w:rsid w:val="0CB202D8"/>
    <w:rsid w:val="0CB3034F"/>
    <w:rsid w:val="0CD1535F"/>
    <w:rsid w:val="0CEA7A5E"/>
    <w:rsid w:val="0D9E5BE6"/>
    <w:rsid w:val="0DAF2FB0"/>
    <w:rsid w:val="0DE03441"/>
    <w:rsid w:val="0E244ACE"/>
    <w:rsid w:val="0ECC0D8A"/>
    <w:rsid w:val="0EE70D61"/>
    <w:rsid w:val="0EFE798E"/>
    <w:rsid w:val="0F1D1F63"/>
    <w:rsid w:val="0F3D682F"/>
    <w:rsid w:val="0F6012E0"/>
    <w:rsid w:val="0F631318"/>
    <w:rsid w:val="0FA5251B"/>
    <w:rsid w:val="0FB60F8D"/>
    <w:rsid w:val="0FB8513C"/>
    <w:rsid w:val="0FBA092F"/>
    <w:rsid w:val="0FBC7FE4"/>
    <w:rsid w:val="101211F8"/>
    <w:rsid w:val="103E6C0E"/>
    <w:rsid w:val="106B20EB"/>
    <w:rsid w:val="108D4479"/>
    <w:rsid w:val="10961E87"/>
    <w:rsid w:val="10AD75EF"/>
    <w:rsid w:val="10F42301"/>
    <w:rsid w:val="11065D2C"/>
    <w:rsid w:val="1150266C"/>
    <w:rsid w:val="118D5786"/>
    <w:rsid w:val="11D26A85"/>
    <w:rsid w:val="1236016D"/>
    <w:rsid w:val="12527021"/>
    <w:rsid w:val="126A20AC"/>
    <w:rsid w:val="12907E1F"/>
    <w:rsid w:val="12D07CBD"/>
    <w:rsid w:val="12F03A8D"/>
    <w:rsid w:val="12FB1F1C"/>
    <w:rsid w:val="13037ED6"/>
    <w:rsid w:val="137B6010"/>
    <w:rsid w:val="13CD4BF1"/>
    <w:rsid w:val="13F34CA7"/>
    <w:rsid w:val="14087139"/>
    <w:rsid w:val="14391C5C"/>
    <w:rsid w:val="14694151"/>
    <w:rsid w:val="14864269"/>
    <w:rsid w:val="149013EC"/>
    <w:rsid w:val="1492043C"/>
    <w:rsid w:val="14D0385F"/>
    <w:rsid w:val="150B1731"/>
    <w:rsid w:val="152A2FC9"/>
    <w:rsid w:val="152E38AF"/>
    <w:rsid w:val="153D6DEC"/>
    <w:rsid w:val="15972E01"/>
    <w:rsid w:val="159E5897"/>
    <w:rsid w:val="15FE0B36"/>
    <w:rsid w:val="16126D17"/>
    <w:rsid w:val="16155210"/>
    <w:rsid w:val="1617420C"/>
    <w:rsid w:val="16174B99"/>
    <w:rsid w:val="163070EE"/>
    <w:rsid w:val="16362C2D"/>
    <w:rsid w:val="164A5F12"/>
    <w:rsid w:val="167A67DF"/>
    <w:rsid w:val="169D49D1"/>
    <w:rsid w:val="16F53929"/>
    <w:rsid w:val="176F4079"/>
    <w:rsid w:val="177F4193"/>
    <w:rsid w:val="18395506"/>
    <w:rsid w:val="184A069F"/>
    <w:rsid w:val="186E5D8B"/>
    <w:rsid w:val="188075F1"/>
    <w:rsid w:val="18BC72C8"/>
    <w:rsid w:val="18F60A16"/>
    <w:rsid w:val="190261A7"/>
    <w:rsid w:val="19406BCA"/>
    <w:rsid w:val="194A19B6"/>
    <w:rsid w:val="19B968FA"/>
    <w:rsid w:val="19C8471E"/>
    <w:rsid w:val="19F81BC6"/>
    <w:rsid w:val="1A4A5015"/>
    <w:rsid w:val="1A5538C6"/>
    <w:rsid w:val="1A5B3DAB"/>
    <w:rsid w:val="1A5C0DCD"/>
    <w:rsid w:val="1AF12911"/>
    <w:rsid w:val="1B4936D1"/>
    <w:rsid w:val="1B7E33AB"/>
    <w:rsid w:val="1BA71B66"/>
    <w:rsid w:val="1C2C60FF"/>
    <w:rsid w:val="1C3950EF"/>
    <w:rsid w:val="1C516DE1"/>
    <w:rsid w:val="1C9F368B"/>
    <w:rsid w:val="1CDA00B0"/>
    <w:rsid w:val="1D1539F9"/>
    <w:rsid w:val="1D3E52D1"/>
    <w:rsid w:val="1D3F2331"/>
    <w:rsid w:val="1D60611F"/>
    <w:rsid w:val="1D6B54AE"/>
    <w:rsid w:val="1D883451"/>
    <w:rsid w:val="1DDD42E3"/>
    <w:rsid w:val="1DE47FE4"/>
    <w:rsid w:val="1E030DC8"/>
    <w:rsid w:val="1E352383"/>
    <w:rsid w:val="1E413716"/>
    <w:rsid w:val="1E521BF4"/>
    <w:rsid w:val="1E6F1251"/>
    <w:rsid w:val="1E7F4E7D"/>
    <w:rsid w:val="1F472A93"/>
    <w:rsid w:val="1FD51345"/>
    <w:rsid w:val="1FF47788"/>
    <w:rsid w:val="1FFB70C6"/>
    <w:rsid w:val="2060339D"/>
    <w:rsid w:val="206904BF"/>
    <w:rsid w:val="210B020D"/>
    <w:rsid w:val="211E4253"/>
    <w:rsid w:val="21264EDF"/>
    <w:rsid w:val="216C52B6"/>
    <w:rsid w:val="218C3503"/>
    <w:rsid w:val="21A842C7"/>
    <w:rsid w:val="21AF2109"/>
    <w:rsid w:val="21B948C1"/>
    <w:rsid w:val="21C959D5"/>
    <w:rsid w:val="21E62BEC"/>
    <w:rsid w:val="21EB48C3"/>
    <w:rsid w:val="2252490D"/>
    <w:rsid w:val="227809D0"/>
    <w:rsid w:val="22926DCA"/>
    <w:rsid w:val="2293195D"/>
    <w:rsid w:val="22D44351"/>
    <w:rsid w:val="2308324D"/>
    <w:rsid w:val="23361551"/>
    <w:rsid w:val="23366094"/>
    <w:rsid w:val="23553444"/>
    <w:rsid w:val="238C4B1E"/>
    <w:rsid w:val="23C9760F"/>
    <w:rsid w:val="23E33E97"/>
    <w:rsid w:val="23EB7086"/>
    <w:rsid w:val="23EF74E8"/>
    <w:rsid w:val="245A4B65"/>
    <w:rsid w:val="248203C9"/>
    <w:rsid w:val="24A3232E"/>
    <w:rsid w:val="24BE3EE7"/>
    <w:rsid w:val="250E59A5"/>
    <w:rsid w:val="2540053D"/>
    <w:rsid w:val="25572EC0"/>
    <w:rsid w:val="25583F8F"/>
    <w:rsid w:val="25942A0A"/>
    <w:rsid w:val="25B2644E"/>
    <w:rsid w:val="25BE790E"/>
    <w:rsid w:val="25CF5599"/>
    <w:rsid w:val="25D804C5"/>
    <w:rsid w:val="260B5408"/>
    <w:rsid w:val="26160C5E"/>
    <w:rsid w:val="26301481"/>
    <w:rsid w:val="26596DA2"/>
    <w:rsid w:val="267B0B69"/>
    <w:rsid w:val="27055672"/>
    <w:rsid w:val="276D47EC"/>
    <w:rsid w:val="27A53E9F"/>
    <w:rsid w:val="27AE3794"/>
    <w:rsid w:val="27FB0559"/>
    <w:rsid w:val="28662B70"/>
    <w:rsid w:val="290E27B8"/>
    <w:rsid w:val="293911B4"/>
    <w:rsid w:val="296C6E71"/>
    <w:rsid w:val="298D1D5A"/>
    <w:rsid w:val="299327C4"/>
    <w:rsid w:val="29A55AC6"/>
    <w:rsid w:val="2A102E33"/>
    <w:rsid w:val="2A14318A"/>
    <w:rsid w:val="2A4F4169"/>
    <w:rsid w:val="2A5F6341"/>
    <w:rsid w:val="2A725463"/>
    <w:rsid w:val="2A903B65"/>
    <w:rsid w:val="2A9632DE"/>
    <w:rsid w:val="2AE835BC"/>
    <w:rsid w:val="2B4F3A96"/>
    <w:rsid w:val="2C67075F"/>
    <w:rsid w:val="2C6C1A64"/>
    <w:rsid w:val="2C763105"/>
    <w:rsid w:val="2C871C77"/>
    <w:rsid w:val="2C934F3A"/>
    <w:rsid w:val="2C9D73E4"/>
    <w:rsid w:val="2CA32A24"/>
    <w:rsid w:val="2CD4437F"/>
    <w:rsid w:val="2CE0580D"/>
    <w:rsid w:val="2CE3350E"/>
    <w:rsid w:val="2D2E2357"/>
    <w:rsid w:val="2D5C6165"/>
    <w:rsid w:val="2D95431B"/>
    <w:rsid w:val="2D9D23B7"/>
    <w:rsid w:val="2DA53D49"/>
    <w:rsid w:val="2DDD46D7"/>
    <w:rsid w:val="2DE64940"/>
    <w:rsid w:val="2E0715EA"/>
    <w:rsid w:val="2E365925"/>
    <w:rsid w:val="2E710F25"/>
    <w:rsid w:val="2E7C3A67"/>
    <w:rsid w:val="2E7E4C90"/>
    <w:rsid w:val="2ECF2BC6"/>
    <w:rsid w:val="2EE97CF6"/>
    <w:rsid w:val="2EF36210"/>
    <w:rsid w:val="2F43443B"/>
    <w:rsid w:val="2F504A9E"/>
    <w:rsid w:val="2F717EA7"/>
    <w:rsid w:val="2F7C1090"/>
    <w:rsid w:val="2FB0199E"/>
    <w:rsid w:val="2FBF6F5E"/>
    <w:rsid w:val="3009689E"/>
    <w:rsid w:val="303E1558"/>
    <w:rsid w:val="305B3C7D"/>
    <w:rsid w:val="306A79DD"/>
    <w:rsid w:val="30820253"/>
    <w:rsid w:val="30A0380E"/>
    <w:rsid w:val="30C21AC9"/>
    <w:rsid w:val="30E54651"/>
    <w:rsid w:val="313633F3"/>
    <w:rsid w:val="313F2733"/>
    <w:rsid w:val="314544DD"/>
    <w:rsid w:val="314A3D5B"/>
    <w:rsid w:val="316B25B6"/>
    <w:rsid w:val="31855E3D"/>
    <w:rsid w:val="31911E35"/>
    <w:rsid w:val="31927D00"/>
    <w:rsid w:val="319C4144"/>
    <w:rsid w:val="32204414"/>
    <w:rsid w:val="32536E98"/>
    <w:rsid w:val="32961A94"/>
    <w:rsid w:val="32B80440"/>
    <w:rsid w:val="32DE42FD"/>
    <w:rsid w:val="32FD0562"/>
    <w:rsid w:val="3332690B"/>
    <w:rsid w:val="334457E6"/>
    <w:rsid w:val="339F7E1A"/>
    <w:rsid w:val="340D04DF"/>
    <w:rsid w:val="34982340"/>
    <w:rsid w:val="34BA214A"/>
    <w:rsid w:val="34D96E0E"/>
    <w:rsid w:val="34E058A4"/>
    <w:rsid w:val="3517466A"/>
    <w:rsid w:val="3541567F"/>
    <w:rsid w:val="3555761B"/>
    <w:rsid w:val="35561891"/>
    <w:rsid w:val="35842796"/>
    <w:rsid w:val="35C42453"/>
    <w:rsid w:val="360A14DF"/>
    <w:rsid w:val="3649547D"/>
    <w:rsid w:val="364A3AEA"/>
    <w:rsid w:val="36745C03"/>
    <w:rsid w:val="36B24D54"/>
    <w:rsid w:val="36BD4AB8"/>
    <w:rsid w:val="36ED3C18"/>
    <w:rsid w:val="37492D4C"/>
    <w:rsid w:val="37CF70A9"/>
    <w:rsid w:val="380776D4"/>
    <w:rsid w:val="38B707F1"/>
    <w:rsid w:val="39267194"/>
    <w:rsid w:val="396341AB"/>
    <w:rsid w:val="398556D7"/>
    <w:rsid w:val="39897BF7"/>
    <w:rsid w:val="399E1441"/>
    <w:rsid w:val="39CB465D"/>
    <w:rsid w:val="39D22E88"/>
    <w:rsid w:val="3A052C3D"/>
    <w:rsid w:val="3A13730E"/>
    <w:rsid w:val="3A2200A7"/>
    <w:rsid w:val="3A6A4F48"/>
    <w:rsid w:val="3A923331"/>
    <w:rsid w:val="3AD16475"/>
    <w:rsid w:val="3AE81C1E"/>
    <w:rsid w:val="3AF74B45"/>
    <w:rsid w:val="3BAF2CE4"/>
    <w:rsid w:val="3BB6395F"/>
    <w:rsid w:val="3C013863"/>
    <w:rsid w:val="3C27601C"/>
    <w:rsid w:val="3C540446"/>
    <w:rsid w:val="3C580DD8"/>
    <w:rsid w:val="3CBF57D4"/>
    <w:rsid w:val="3CEE5D90"/>
    <w:rsid w:val="3D2A07D7"/>
    <w:rsid w:val="3D423410"/>
    <w:rsid w:val="3D8E5F6C"/>
    <w:rsid w:val="3DC9235F"/>
    <w:rsid w:val="3DE5343E"/>
    <w:rsid w:val="3DF25FED"/>
    <w:rsid w:val="3E045955"/>
    <w:rsid w:val="3E2928AA"/>
    <w:rsid w:val="3E415531"/>
    <w:rsid w:val="3E7C30D1"/>
    <w:rsid w:val="3EC373AA"/>
    <w:rsid w:val="3ED0655E"/>
    <w:rsid w:val="3EFC3F02"/>
    <w:rsid w:val="3FE3712D"/>
    <w:rsid w:val="4036451C"/>
    <w:rsid w:val="405139D2"/>
    <w:rsid w:val="40774519"/>
    <w:rsid w:val="40ED6EDE"/>
    <w:rsid w:val="41451DE3"/>
    <w:rsid w:val="421C341D"/>
    <w:rsid w:val="4226002E"/>
    <w:rsid w:val="425101DD"/>
    <w:rsid w:val="425813A7"/>
    <w:rsid w:val="425E3CE6"/>
    <w:rsid w:val="42662B39"/>
    <w:rsid w:val="42E2671F"/>
    <w:rsid w:val="42EB1794"/>
    <w:rsid w:val="43312EC1"/>
    <w:rsid w:val="43B006A9"/>
    <w:rsid w:val="43C37418"/>
    <w:rsid w:val="43F51823"/>
    <w:rsid w:val="44673A6C"/>
    <w:rsid w:val="44727382"/>
    <w:rsid w:val="4488447C"/>
    <w:rsid w:val="44E05F8D"/>
    <w:rsid w:val="452A2E9A"/>
    <w:rsid w:val="45A81610"/>
    <w:rsid w:val="45D17043"/>
    <w:rsid w:val="45F86314"/>
    <w:rsid w:val="463D1398"/>
    <w:rsid w:val="463D487E"/>
    <w:rsid w:val="46467996"/>
    <w:rsid w:val="467A71E9"/>
    <w:rsid w:val="46AE36CC"/>
    <w:rsid w:val="46CD5B27"/>
    <w:rsid w:val="472D4AE4"/>
    <w:rsid w:val="475A0E25"/>
    <w:rsid w:val="477433AA"/>
    <w:rsid w:val="47867564"/>
    <w:rsid w:val="47B13336"/>
    <w:rsid w:val="47B30856"/>
    <w:rsid w:val="47D21439"/>
    <w:rsid w:val="47EC2593"/>
    <w:rsid w:val="481D7858"/>
    <w:rsid w:val="4844501C"/>
    <w:rsid w:val="487D0486"/>
    <w:rsid w:val="487E6827"/>
    <w:rsid w:val="488D1BB3"/>
    <w:rsid w:val="489F3B56"/>
    <w:rsid w:val="48D55C81"/>
    <w:rsid w:val="48DC3DE4"/>
    <w:rsid w:val="49B56187"/>
    <w:rsid w:val="49C87B61"/>
    <w:rsid w:val="49E60E5D"/>
    <w:rsid w:val="4A1909A0"/>
    <w:rsid w:val="4A280604"/>
    <w:rsid w:val="4A4203AF"/>
    <w:rsid w:val="4A874B09"/>
    <w:rsid w:val="4AA8729E"/>
    <w:rsid w:val="4AF56EC6"/>
    <w:rsid w:val="4B4C02ED"/>
    <w:rsid w:val="4B777293"/>
    <w:rsid w:val="4BE618E3"/>
    <w:rsid w:val="4BEE44F2"/>
    <w:rsid w:val="4BF547E4"/>
    <w:rsid w:val="4C265DBB"/>
    <w:rsid w:val="4C452A2E"/>
    <w:rsid w:val="4C70693C"/>
    <w:rsid w:val="4C8537C9"/>
    <w:rsid w:val="4C957E34"/>
    <w:rsid w:val="4C9C21E9"/>
    <w:rsid w:val="4CA73341"/>
    <w:rsid w:val="4CA74208"/>
    <w:rsid w:val="4CC70070"/>
    <w:rsid w:val="4CF66DE9"/>
    <w:rsid w:val="4CFD5365"/>
    <w:rsid w:val="4D0A345D"/>
    <w:rsid w:val="4D0B1526"/>
    <w:rsid w:val="4D234ECE"/>
    <w:rsid w:val="4DC529C1"/>
    <w:rsid w:val="4DCB5250"/>
    <w:rsid w:val="4F873962"/>
    <w:rsid w:val="4F92738F"/>
    <w:rsid w:val="4FA662CE"/>
    <w:rsid w:val="4FB63CF5"/>
    <w:rsid w:val="4FC17B04"/>
    <w:rsid w:val="4FFF2B45"/>
    <w:rsid w:val="4FFF3D33"/>
    <w:rsid w:val="500037D4"/>
    <w:rsid w:val="501410FA"/>
    <w:rsid w:val="50205D85"/>
    <w:rsid w:val="502305CE"/>
    <w:rsid w:val="50357AC2"/>
    <w:rsid w:val="50E20028"/>
    <w:rsid w:val="50EB273B"/>
    <w:rsid w:val="50F87889"/>
    <w:rsid w:val="514B229E"/>
    <w:rsid w:val="517860F3"/>
    <w:rsid w:val="51860E9E"/>
    <w:rsid w:val="519071BD"/>
    <w:rsid w:val="524A4D58"/>
    <w:rsid w:val="526841A9"/>
    <w:rsid w:val="526D1FC4"/>
    <w:rsid w:val="52955FB3"/>
    <w:rsid w:val="52960FF2"/>
    <w:rsid w:val="52F42575"/>
    <w:rsid w:val="534D12A4"/>
    <w:rsid w:val="53531B4B"/>
    <w:rsid w:val="536329BD"/>
    <w:rsid w:val="53647DA3"/>
    <w:rsid w:val="53731DE7"/>
    <w:rsid w:val="53BD5C40"/>
    <w:rsid w:val="5414133C"/>
    <w:rsid w:val="548D027F"/>
    <w:rsid w:val="54BA2EAE"/>
    <w:rsid w:val="54C43AE7"/>
    <w:rsid w:val="54FD5792"/>
    <w:rsid w:val="55A93686"/>
    <w:rsid w:val="55E114D5"/>
    <w:rsid w:val="564A3398"/>
    <w:rsid w:val="56C4107E"/>
    <w:rsid w:val="56FB55A6"/>
    <w:rsid w:val="57045D5A"/>
    <w:rsid w:val="578A7A88"/>
    <w:rsid w:val="578F58C9"/>
    <w:rsid w:val="582B1C27"/>
    <w:rsid w:val="5839310F"/>
    <w:rsid w:val="584552BF"/>
    <w:rsid w:val="58A65901"/>
    <w:rsid w:val="58EC44DE"/>
    <w:rsid w:val="59045508"/>
    <w:rsid w:val="5907764E"/>
    <w:rsid w:val="592120C0"/>
    <w:rsid w:val="592759AA"/>
    <w:rsid w:val="59331502"/>
    <w:rsid w:val="594C5E66"/>
    <w:rsid w:val="599778BB"/>
    <w:rsid w:val="59AB15BF"/>
    <w:rsid w:val="59E545C2"/>
    <w:rsid w:val="5A0443D6"/>
    <w:rsid w:val="5A401792"/>
    <w:rsid w:val="5A85102A"/>
    <w:rsid w:val="5A9F58AC"/>
    <w:rsid w:val="5B690751"/>
    <w:rsid w:val="5C1D1464"/>
    <w:rsid w:val="5C9E6A24"/>
    <w:rsid w:val="5CB937BA"/>
    <w:rsid w:val="5CC036D5"/>
    <w:rsid w:val="5D5E078B"/>
    <w:rsid w:val="5D81625E"/>
    <w:rsid w:val="5D906BF5"/>
    <w:rsid w:val="5DB47334"/>
    <w:rsid w:val="5DC33751"/>
    <w:rsid w:val="5E172770"/>
    <w:rsid w:val="5E317753"/>
    <w:rsid w:val="5E3D0404"/>
    <w:rsid w:val="5EC62701"/>
    <w:rsid w:val="5F23085A"/>
    <w:rsid w:val="5F54068C"/>
    <w:rsid w:val="5F6E31CD"/>
    <w:rsid w:val="5F8D7780"/>
    <w:rsid w:val="60286820"/>
    <w:rsid w:val="60555FE4"/>
    <w:rsid w:val="60CB4152"/>
    <w:rsid w:val="60CD632C"/>
    <w:rsid w:val="60CF3E48"/>
    <w:rsid w:val="60DC139E"/>
    <w:rsid w:val="60F40A4B"/>
    <w:rsid w:val="610F0A2B"/>
    <w:rsid w:val="612C42F2"/>
    <w:rsid w:val="612E74FF"/>
    <w:rsid w:val="61427D4E"/>
    <w:rsid w:val="616C4576"/>
    <w:rsid w:val="61AE3C5C"/>
    <w:rsid w:val="61C1436C"/>
    <w:rsid w:val="61C331AA"/>
    <w:rsid w:val="61DE537F"/>
    <w:rsid w:val="61FD7C20"/>
    <w:rsid w:val="62153A13"/>
    <w:rsid w:val="62543634"/>
    <w:rsid w:val="62571A8C"/>
    <w:rsid w:val="62717053"/>
    <w:rsid w:val="6284234E"/>
    <w:rsid w:val="62AC3082"/>
    <w:rsid w:val="62AE1103"/>
    <w:rsid w:val="62F62752"/>
    <w:rsid w:val="63075C78"/>
    <w:rsid w:val="63990AB5"/>
    <w:rsid w:val="63F03616"/>
    <w:rsid w:val="63F27705"/>
    <w:rsid w:val="645F16B8"/>
    <w:rsid w:val="647D06BF"/>
    <w:rsid w:val="64A0181F"/>
    <w:rsid w:val="64A324B6"/>
    <w:rsid w:val="64C54636"/>
    <w:rsid w:val="650961CA"/>
    <w:rsid w:val="650A4CE3"/>
    <w:rsid w:val="652F4849"/>
    <w:rsid w:val="653B6DB7"/>
    <w:rsid w:val="657B34F3"/>
    <w:rsid w:val="65A208EF"/>
    <w:rsid w:val="65A60C2C"/>
    <w:rsid w:val="65B6240C"/>
    <w:rsid w:val="65CA0FF0"/>
    <w:rsid w:val="65EE2C12"/>
    <w:rsid w:val="662B515E"/>
    <w:rsid w:val="6640611A"/>
    <w:rsid w:val="66787AF8"/>
    <w:rsid w:val="66C47EC6"/>
    <w:rsid w:val="66D53FEE"/>
    <w:rsid w:val="66F73C73"/>
    <w:rsid w:val="67201A40"/>
    <w:rsid w:val="67515402"/>
    <w:rsid w:val="67521566"/>
    <w:rsid w:val="679B4A1A"/>
    <w:rsid w:val="67AB168B"/>
    <w:rsid w:val="67E836C7"/>
    <w:rsid w:val="680A1C1C"/>
    <w:rsid w:val="680A7425"/>
    <w:rsid w:val="68224AB7"/>
    <w:rsid w:val="68252ED2"/>
    <w:rsid w:val="683166D7"/>
    <w:rsid w:val="68371EB1"/>
    <w:rsid w:val="685A75E8"/>
    <w:rsid w:val="68615EDB"/>
    <w:rsid w:val="68F52B6F"/>
    <w:rsid w:val="68FD24D6"/>
    <w:rsid w:val="69017C1D"/>
    <w:rsid w:val="691A4459"/>
    <w:rsid w:val="692D0390"/>
    <w:rsid w:val="69556EB7"/>
    <w:rsid w:val="69843B70"/>
    <w:rsid w:val="69EA09A6"/>
    <w:rsid w:val="6A0551DE"/>
    <w:rsid w:val="6A120D25"/>
    <w:rsid w:val="6A2A5219"/>
    <w:rsid w:val="6AF93859"/>
    <w:rsid w:val="6B005FF4"/>
    <w:rsid w:val="6B0F5C47"/>
    <w:rsid w:val="6B125020"/>
    <w:rsid w:val="6B4500D3"/>
    <w:rsid w:val="6BD27171"/>
    <w:rsid w:val="6BFA7F32"/>
    <w:rsid w:val="6C5F7BAE"/>
    <w:rsid w:val="6C6F3A5A"/>
    <w:rsid w:val="6C963BCE"/>
    <w:rsid w:val="6CD57E67"/>
    <w:rsid w:val="6CF1031B"/>
    <w:rsid w:val="6D184D18"/>
    <w:rsid w:val="6D36084C"/>
    <w:rsid w:val="6D6738CE"/>
    <w:rsid w:val="6D9825D1"/>
    <w:rsid w:val="6DCE1423"/>
    <w:rsid w:val="6E0C201B"/>
    <w:rsid w:val="6EB9047F"/>
    <w:rsid w:val="6EC05DE2"/>
    <w:rsid w:val="6ED802A2"/>
    <w:rsid w:val="6F0A4E44"/>
    <w:rsid w:val="6F1131A7"/>
    <w:rsid w:val="6F6C51AB"/>
    <w:rsid w:val="6F8705F8"/>
    <w:rsid w:val="6FC54D50"/>
    <w:rsid w:val="6FFA45A1"/>
    <w:rsid w:val="70062EC5"/>
    <w:rsid w:val="701A1470"/>
    <w:rsid w:val="70327D19"/>
    <w:rsid w:val="70516DB9"/>
    <w:rsid w:val="70572659"/>
    <w:rsid w:val="706A04F0"/>
    <w:rsid w:val="70F62EA0"/>
    <w:rsid w:val="710E46EC"/>
    <w:rsid w:val="711E10D3"/>
    <w:rsid w:val="71324139"/>
    <w:rsid w:val="717C6EE8"/>
    <w:rsid w:val="71B37311"/>
    <w:rsid w:val="71F43D41"/>
    <w:rsid w:val="721D2A0D"/>
    <w:rsid w:val="722517F9"/>
    <w:rsid w:val="728523DB"/>
    <w:rsid w:val="72911A25"/>
    <w:rsid w:val="7375573E"/>
    <w:rsid w:val="73B04906"/>
    <w:rsid w:val="73CB0206"/>
    <w:rsid w:val="73D0560B"/>
    <w:rsid w:val="73DD45C2"/>
    <w:rsid w:val="74207C6A"/>
    <w:rsid w:val="7421270C"/>
    <w:rsid w:val="742A058B"/>
    <w:rsid w:val="746C0A17"/>
    <w:rsid w:val="74BA419B"/>
    <w:rsid w:val="74D41120"/>
    <w:rsid w:val="74EA6C4B"/>
    <w:rsid w:val="751B464E"/>
    <w:rsid w:val="755C07D6"/>
    <w:rsid w:val="757E009D"/>
    <w:rsid w:val="75CA4550"/>
    <w:rsid w:val="75E87AC0"/>
    <w:rsid w:val="75F414FC"/>
    <w:rsid w:val="763318E4"/>
    <w:rsid w:val="766D3633"/>
    <w:rsid w:val="76754CBB"/>
    <w:rsid w:val="76A851D6"/>
    <w:rsid w:val="76F81FC6"/>
    <w:rsid w:val="77127EBF"/>
    <w:rsid w:val="77535900"/>
    <w:rsid w:val="775C04C5"/>
    <w:rsid w:val="77753DAA"/>
    <w:rsid w:val="779E69B9"/>
    <w:rsid w:val="77A33325"/>
    <w:rsid w:val="77D26796"/>
    <w:rsid w:val="77DB2ADA"/>
    <w:rsid w:val="77DD60B4"/>
    <w:rsid w:val="77FD5769"/>
    <w:rsid w:val="78186CD6"/>
    <w:rsid w:val="782A4815"/>
    <w:rsid w:val="78656D33"/>
    <w:rsid w:val="789828EB"/>
    <w:rsid w:val="78A22D6F"/>
    <w:rsid w:val="78A9770C"/>
    <w:rsid w:val="78AB11DE"/>
    <w:rsid w:val="78CB590B"/>
    <w:rsid w:val="78D72BBA"/>
    <w:rsid w:val="79036C4A"/>
    <w:rsid w:val="792403B1"/>
    <w:rsid w:val="797804DF"/>
    <w:rsid w:val="79B774AA"/>
    <w:rsid w:val="79C917E8"/>
    <w:rsid w:val="7A2407B3"/>
    <w:rsid w:val="7A380AA1"/>
    <w:rsid w:val="7A933FC1"/>
    <w:rsid w:val="7B1153C0"/>
    <w:rsid w:val="7B43173F"/>
    <w:rsid w:val="7B4A5D58"/>
    <w:rsid w:val="7B823B87"/>
    <w:rsid w:val="7BE105FE"/>
    <w:rsid w:val="7C4272C0"/>
    <w:rsid w:val="7CA82D21"/>
    <w:rsid w:val="7D112490"/>
    <w:rsid w:val="7D1B3445"/>
    <w:rsid w:val="7D21671D"/>
    <w:rsid w:val="7D255511"/>
    <w:rsid w:val="7D5F6D3B"/>
    <w:rsid w:val="7D9D01C0"/>
    <w:rsid w:val="7DAD344E"/>
    <w:rsid w:val="7DD55341"/>
    <w:rsid w:val="7DFA229B"/>
    <w:rsid w:val="7E155EC9"/>
    <w:rsid w:val="7E5B4448"/>
    <w:rsid w:val="7E727180"/>
    <w:rsid w:val="7E8F16A4"/>
    <w:rsid w:val="7F113252"/>
    <w:rsid w:val="7F4D6E65"/>
    <w:rsid w:val="7F650ED9"/>
    <w:rsid w:val="7F8F63FA"/>
    <w:rsid w:val="7F916678"/>
    <w:rsid w:val="7FAD6D0C"/>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1</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yx01.hou</cp:lastModifiedBy>
  <cp:lastPrinted>2024-10-23T10:08:00Z</cp:lastPrinted>
  <dcterms:modified xsi:type="dcterms:W3CDTF">2025-10-24T03:11:25Z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