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spacing w:line="360" w:lineRule="auto"/>
        <w:jc w:val="center"/>
        <w:rPr>
          <w:rFonts w:asciiTheme="minorEastAsia" w:hAnsiTheme="minorEastAsia"/>
          <w:b/>
          <w:sz w:val="24"/>
          <w:szCs w:val="24"/>
        </w:rPr>
      </w:pPr>
      <w:r>
        <w:rPr>
          <w:rFonts w:asciiTheme="minorEastAsia" w:hAnsiTheme="minorEastAsia" w:hint="eastAsia"/>
          <w:b/>
          <w:sz w:val="28"/>
          <w:szCs w:val="24"/>
        </w:rPr>
        <w:t>青银理财理财产品风险揭示书</w:t>
      </w:r>
    </w:p>
    <w:p>
      <w:pPr>
        <w:spacing w:line="360" w:lineRule="auto"/>
        <w:rPr>
          <w:rFonts w:asciiTheme="minorEastAsia" w:hAnsiTheme="minorEastAsia"/>
          <w:sz w:val="24"/>
          <w:szCs w:val="24"/>
        </w:rPr>
      </w:pPr>
      <w:r>
        <w:rPr>
          <w:rFonts w:asciiTheme="minorEastAsia" w:hAnsiTheme="minorEastAsia" w:hint="eastAsia"/>
          <w:sz w:val="24"/>
          <w:szCs w:val="24"/>
        </w:rPr>
        <w:t>尊敬的客户：</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理财非存款，产品有风险，投资须谨慎。您/贵公司应充分认识以下风险:</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1.本金及收益风险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本理财产品为非保本:产品有投资风险，不保证本金和收益。</w:t>
      </w:r>
      <w:r>
        <w:rPr>
          <w:rFonts w:asciiTheme="minorEastAsia" w:hAnsiTheme="minorEastAsia" w:hint="eastAsia"/>
          <w:b/>
          <w:sz w:val="24"/>
          <w:szCs w:val="24"/>
        </w:rPr>
        <w:t>在市场最不利的情况下可能损失全部本金，您/贵公司应充分认识投资风险，谨慎投资。</w:t>
      </w:r>
      <w:r>
        <w:rPr>
          <w:rFonts w:asciiTheme="minorEastAsia" w:hAnsiTheme="minorEastAsia" w:hint="eastAsia"/>
          <w:sz w:val="24"/>
          <w:szCs w:val="24"/>
        </w:rPr>
        <w:t>示例：若客户购买理财计划本金1</w:t>
      </w:r>
      <w:r>
        <w:rPr>
          <w:rFonts w:asciiTheme="minorEastAsia" w:hAnsiTheme="minorEastAsia"/>
          <w:sz w:val="24"/>
          <w:szCs w:val="24"/>
        </w:rPr>
        <w:t>0</w:t>
      </w:r>
      <w:r>
        <w:rPr>
          <w:rFonts w:asciiTheme="minorEastAsia" w:hAnsiTheme="minorEastAsia" w:hint="eastAsia"/>
          <w:sz w:val="24"/>
          <w:szCs w:val="24"/>
        </w:rPr>
        <w:t>万元，最不利情形下，到期后该客户理财本金将全部损失。</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2.市场风险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3</w:t>
      </w:r>
      <w:r>
        <w:rPr>
          <w:rFonts w:asciiTheme="minorEastAsia" w:hAnsiTheme="minorEastAsia" w:hint="eastAsia"/>
          <w:b/>
          <w:sz w:val="24"/>
          <w:szCs w:val="24"/>
        </w:rPr>
        <w:t>.政策风险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4</w:t>
      </w:r>
      <w:r>
        <w:rPr>
          <w:rFonts w:asciiTheme="minorEastAsia" w:hAnsiTheme="minorEastAsia" w:hint="eastAsia"/>
          <w:b/>
          <w:sz w:val="24"/>
          <w:szCs w:val="24"/>
        </w:rPr>
        <w:t>.流动性风险</w:t>
      </w:r>
    </w:p>
    <w:p>
      <w:pPr>
        <w:spacing w:line="360" w:lineRule="auto"/>
        <w:ind w:firstLine="480" w:firstLineChars="200"/>
        <w:rPr>
          <w:rFonts w:asciiTheme="minorEastAsia" w:hAnsiTheme="minorEastAsia"/>
          <w:sz w:val="24"/>
          <w:szCs w:val="24"/>
        </w:rPr>
      </w:pPr>
      <w:r>
        <w:rPr>
          <w:rFonts w:asciiTheme="minorEastAsia" w:hAnsiTheme="minorEastAsia" w:hint="eastAsia"/>
          <w:b/>
          <w:sz w:val="24"/>
          <w:szCs w:val="24"/>
        </w:rPr>
        <w:t>（1）主要拟投资市场、资产的流动性风险：</w:t>
      </w:r>
      <w:r>
        <w:rPr>
          <w:rFonts w:asciiTheme="minorEastAsia" w:hAnsiTheme="minorEastAsia"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pPr>
        <w:spacing w:line="360" w:lineRule="auto"/>
        <w:ind w:firstLine="480" w:firstLineChars="200"/>
        <w:rPr>
          <w:rFonts w:asciiTheme="minorEastAsia" w:hAnsiTheme="minorEastAsia"/>
          <w:sz w:val="24"/>
          <w:szCs w:val="24"/>
        </w:rPr>
      </w:pPr>
      <w:r>
        <w:rPr>
          <w:rFonts w:asciiTheme="minorEastAsia" w:hAnsiTheme="minorEastAsia" w:hint="eastAsia"/>
          <w:b/>
          <w:sz w:val="24"/>
          <w:szCs w:val="24"/>
        </w:rPr>
        <w:t>（2）投资者资金流动性风险：</w:t>
      </w:r>
      <w:r>
        <w:rPr>
          <w:rFonts w:asciiTheme="minorEastAsia" w:hAnsiTheme="minorEastAsia"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pPr>
        <w:spacing w:line="360" w:lineRule="auto"/>
        <w:ind w:firstLine="480" w:firstLineChars="200"/>
        <w:rPr>
          <w:sz w:val="24"/>
          <w:szCs w:val="24"/>
        </w:rPr>
      </w:pPr>
      <w:r>
        <w:rPr>
          <w:rFonts w:hint="eastAsia"/>
          <w:sz w:val="24"/>
          <w:szCs w:val="24"/>
        </w:rPr>
        <w:t>青银理财可以依照法律法规及产品说明书的约定，综合运用各项理财产品流动性风险应对措施：</w:t>
      </w:r>
    </w:p>
    <w:p>
      <w:pPr>
        <w:spacing w:line="360" w:lineRule="auto"/>
        <w:ind w:firstLine="480" w:firstLineChars="200"/>
        <w:rPr>
          <w:sz w:val="24"/>
          <w:szCs w:val="24"/>
        </w:rPr>
      </w:pPr>
      <w:r>
        <w:rPr>
          <w:rFonts w:hint="eastAsia"/>
          <w:sz w:val="24"/>
          <w:szCs w:val="24"/>
        </w:rPr>
        <w:t>认购风险应对措施，包括：设定单一投资者认购金额上限、设定理财产品单日净认购比例上限、拒绝大额认购、暂停认购，以及国家金融监督管理总局规定的其他措施；</w:t>
      </w:r>
    </w:p>
    <w:p>
      <w:pPr>
        <w:spacing w:line="360" w:lineRule="auto"/>
        <w:ind w:firstLine="480" w:firstLineChars="200"/>
        <w:rPr>
          <w:sz w:val="24"/>
          <w:szCs w:val="24"/>
        </w:rPr>
      </w:pPr>
      <w:r>
        <w:rPr>
          <w:rFonts w:hint="eastAsia"/>
          <w:sz w:val="24"/>
          <w:szCs w:val="24"/>
        </w:rPr>
        <w:t>赎回风险应对措施，包括：设置赎回上限、延期办理巨额赎回申请、暂停接受赎回申请、延缓支付赎回款项、收取短期赎回费、暂停理财产品估值、</w:t>
      </w:r>
      <w:r>
        <w:rPr>
          <w:sz w:val="24"/>
          <w:szCs w:val="24"/>
        </w:rPr>
        <w:t xml:space="preserve"> </w:t>
      </w:r>
      <w:r>
        <w:rPr>
          <w:rFonts w:hint="eastAsia"/>
          <w:sz w:val="24"/>
          <w:szCs w:val="24"/>
        </w:rPr>
        <w:t>摆动定价，以及国家金融监督管理总局规定的其他措施。</w:t>
      </w:r>
    </w:p>
    <w:p>
      <w:pPr>
        <w:spacing w:line="360" w:lineRule="auto"/>
        <w:ind w:firstLine="480" w:firstLineChars="200"/>
        <w:rPr>
          <w:rFonts w:asciiTheme="minorEastAsia" w:hAnsiTheme="minorEastAsia"/>
          <w:sz w:val="24"/>
          <w:szCs w:val="24"/>
        </w:rPr>
      </w:pPr>
      <w:r>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5</w:t>
      </w:r>
      <w:r>
        <w:rPr>
          <w:rFonts w:asciiTheme="minorEastAsia" w:hAnsiTheme="minorEastAsia" w:hint="eastAsia"/>
          <w:b/>
          <w:sz w:val="24"/>
          <w:szCs w:val="24"/>
        </w:rPr>
        <w:t>.理财计划不成立风险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6</w:t>
      </w:r>
      <w:r>
        <w:rPr>
          <w:rFonts w:asciiTheme="minorEastAsia" w:hAnsiTheme="minorEastAsia" w:hint="eastAsia"/>
          <w:b/>
          <w:sz w:val="24"/>
          <w:szCs w:val="24"/>
        </w:rPr>
        <w:t>.延期风险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7</w:t>
      </w:r>
      <w:r>
        <w:rPr>
          <w:rFonts w:asciiTheme="minorEastAsia" w:hAnsiTheme="minorEastAsia" w:hint="eastAsia"/>
          <w:b/>
          <w:sz w:val="24"/>
          <w:szCs w:val="24"/>
        </w:rPr>
        <w:t>.提前终止及再投资风险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8</w:t>
      </w:r>
      <w:r>
        <w:rPr>
          <w:rFonts w:asciiTheme="minorEastAsia" w:hAnsiTheme="minorEastAsia" w:hint="eastAsia"/>
          <w:b/>
          <w:sz w:val="24"/>
          <w:szCs w:val="24"/>
        </w:rPr>
        <w:t>.信息传递风险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有关本理财计划存续期内是否提供估值或账单事宜详见对应期次的产品说明书。投资者应根据产品说明书所载明的公告方式及时查询理财相关信息。</w:t>
      </w:r>
      <w:r>
        <w:rPr>
          <w:rFonts w:asciiTheme="minorEastAsia" w:hAnsiTheme="minorEastAsia" w:hint="eastAsia"/>
          <w:b/>
          <w:sz w:val="24"/>
          <w:szCs w:val="24"/>
        </w:rPr>
        <w:t>如投资者未及时查询或由于不可抗力及/或意外事件的影响导致投资者无法及时了解理财信息，进而影响投资者的投资决策，由此而产生的责任和风险由投资者自行承担。</w:t>
      </w:r>
      <w:r>
        <w:rPr>
          <w:rFonts w:asciiTheme="minorEastAsia" w:hAnsiTheme="minorEastAsia" w:hint="eastAsia"/>
          <w:sz w:val="24"/>
          <w:szCs w:val="24"/>
        </w:rPr>
        <w:t>投资者预留的联系方式如有变更应及时通知青银理财。否则，</w:t>
      </w:r>
      <w:r>
        <w:rPr>
          <w:rFonts w:asciiTheme="minorEastAsia" w:hAnsiTheme="minorEastAsia"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9</w:t>
      </w:r>
      <w:r>
        <w:rPr>
          <w:rFonts w:asciiTheme="minorEastAsia" w:hAnsiTheme="minorEastAsia" w:hint="eastAsia"/>
          <w:b/>
          <w:sz w:val="24"/>
          <w:szCs w:val="24"/>
        </w:rPr>
        <w:t>.不可抗力风险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不可抗力因素可能导致理财资产收益降低或损失，影响理财计划的信息传递、成立、运作、偿还及本金安全。“不可抗力”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Pr>
          <w:rFonts w:asciiTheme="minorEastAsia" w:hAnsiTheme="minorEastAsia" w:hint="eastAsia"/>
          <w:b/>
          <w:sz w:val="24"/>
          <w:szCs w:val="24"/>
        </w:rPr>
        <w:t>对于由不可抗力及意外事件导致的损失，投资者须自行承担，管理人对此不承担责任。</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0.</w:t>
      </w:r>
      <w:r>
        <w:rPr>
          <w:rFonts w:asciiTheme="minorEastAsia" w:hAnsiTheme="minorEastAsia" w:hint="eastAsia"/>
          <w:b/>
          <w:sz w:val="24"/>
          <w:szCs w:val="24"/>
        </w:rPr>
        <w:t>信用风险</w:t>
      </w:r>
    </w:p>
    <w:p>
      <w:pPr>
        <w:pStyle w:val="Default"/>
        <w:snapToGrid w:val="0"/>
        <w:spacing w:line="360" w:lineRule="auto"/>
        <w:ind w:firstLine="480" w:firstLineChars="200"/>
        <w:rPr>
          <w:rFonts w:hAnsi="宋体"/>
          <w:color w:val="auto"/>
        </w:rPr>
      </w:pPr>
      <w:r>
        <w:rPr>
          <w:rFonts w:hAnsi="宋体" w:hint="eastAsia"/>
          <w:color w:val="auto"/>
        </w:rPr>
        <w:t>本理财产品所投资的标准化资产或非标准化债权资产，可能因债务人违约或者其他原因在投资期限届满时不能足额变现，由此可能导致本理财产品的本金及收益遭受损失。</w:t>
      </w:r>
      <w:r>
        <w:rPr>
          <w:rFonts w:hAnsi="宋体" w:hint="eastAsia"/>
          <w:b/>
          <w:color w:val="auto"/>
        </w:rPr>
        <w:t>该种情况下，管理人将按照投资实际收益情况，并以资产变现实际收到的资金为限支付投资人收益，投资人将自行承担由此而导致的理财收益减少乃至本金损失的风险。</w:t>
      </w:r>
      <w:r>
        <w:rPr>
          <w:rFonts w:hAnsi="宋体" w:hint="eastAsia"/>
          <w:color w:val="auto"/>
        </w:rPr>
        <w:t>本理财计划运作过程中，投资管理人将密切关注投资组合信用风险变化，根据债务人等信用等级的调整及时调整投资组合，尽最大努力管理信用风险。</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1.</w:t>
      </w:r>
      <w:r>
        <w:rPr>
          <w:rFonts w:asciiTheme="minorEastAsia" w:hAnsiTheme="minorEastAsia" w:hint="eastAsia"/>
          <w:b/>
          <w:sz w:val="24"/>
          <w:szCs w:val="24"/>
        </w:rPr>
        <w:t>管理风险</w:t>
      </w:r>
    </w:p>
    <w:p>
      <w:pPr>
        <w:pStyle w:val="Default"/>
        <w:snapToGrid w:val="0"/>
        <w:spacing w:line="360" w:lineRule="auto"/>
        <w:ind w:firstLine="480" w:firstLineChars="200"/>
        <w:rPr>
          <w:rFonts w:hAnsi="宋体"/>
          <w:color w:val="auto"/>
        </w:rPr>
      </w:pPr>
      <w:r>
        <w:rPr>
          <w:rFonts w:hAnsi="宋体" w:hint="eastAsia"/>
          <w:color w:val="auto"/>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12.</w:t>
      </w:r>
      <w:r>
        <w:rPr>
          <w:rFonts w:asciiTheme="minorEastAsia" w:hAnsiTheme="minorEastAsia" w:hint="eastAsia"/>
          <w:b/>
          <w:sz w:val="24"/>
          <w:szCs w:val="24"/>
        </w:rPr>
        <w:t>操作风险</w:t>
      </w:r>
    </w:p>
    <w:p>
      <w:pPr>
        <w:pStyle w:val="Default"/>
        <w:snapToGrid w:val="0"/>
        <w:spacing w:line="360" w:lineRule="auto"/>
        <w:ind w:firstLine="480" w:firstLineChars="200"/>
        <w:rPr>
          <w:rFonts w:hAnsi="宋体"/>
          <w:color w:val="auto"/>
        </w:rPr>
      </w:pPr>
      <w:r>
        <w:rPr>
          <w:rFonts w:hAnsi="宋体" w:hint="eastAsia"/>
          <w:color w:val="auto"/>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13.</w:t>
      </w:r>
      <w:r>
        <w:rPr>
          <w:rFonts w:asciiTheme="minorEastAsia" w:hAnsiTheme="minorEastAsia" w:hint="eastAsia"/>
          <w:b/>
          <w:sz w:val="24"/>
          <w:szCs w:val="24"/>
        </w:rPr>
        <w:t>代销风险</w:t>
      </w:r>
    </w:p>
    <w:p>
      <w:pPr>
        <w:pStyle w:val="Default"/>
        <w:snapToGrid w:val="0"/>
        <w:spacing w:line="360" w:lineRule="auto"/>
        <w:ind w:firstLine="480" w:firstLineChars="200"/>
        <w:rPr>
          <w:rFonts w:hAnsi="宋体"/>
          <w:color w:val="auto"/>
        </w:rPr>
      </w:pPr>
      <w:r>
        <w:rPr>
          <w:rFonts w:hAnsi="宋体" w:hint="eastAsia"/>
          <w:color w:val="auto"/>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4.</w:t>
      </w:r>
      <w:r>
        <w:rPr>
          <w:rFonts w:asciiTheme="minorEastAsia" w:hAnsiTheme="minorEastAsia" w:hint="eastAsia"/>
          <w:b/>
          <w:sz w:val="24"/>
          <w:szCs w:val="24"/>
        </w:rPr>
        <w:t>税务风险</w:t>
      </w:r>
    </w:p>
    <w:p>
      <w:pPr>
        <w:pStyle w:val="Default"/>
        <w:snapToGrid w:val="0"/>
        <w:spacing w:line="360" w:lineRule="auto"/>
        <w:ind w:firstLine="480" w:firstLineChars="200"/>
        <w:rPr>
          <w:rFonts w:hAnsi="宋体"/>
          <w:color w:val="auto"/>
        </w:rPr>
      </w:pPr>
      <w:r>
        <w:rPr>
          <w:rFonts w:hAnsi="宋体" w:hint="eastAsia"/>
          <w:color w:val="auto"/>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15.</w:t>
      </w:r>
      <w:r>
        <w:rPr>
          <w:rFonts w:asciiTheme="minorEastAsia" w:hAnsiTheme="minorEastAsia" w:hint="eastAsia"/>
          <w:b/>
          <w:sz w:val="24"/>
          <w:szCs w:val="24"/>
        </w:rPr>
        <w:t>关联关系及关联交易风险</w:t>
      </w:r>
    </w:p>
    <w:p>
      <w:pPr>
        <w:pStyle w:val="Default"/>
        <w:snapToGrid w:val="0"/>
        <w:spacing w:line="360" w:lineRule="auto"/>
        <w:ind w:firstLine="480" w:firstLineChars="200"/>
        <w:rPr>
          <w:rFonts w:hAnsi="宋体"/>
          <w:color w:val="auto"/>
        </w:rPr>
      </w:pPr>
      <w:r>
        <w:rPr>
          <w:rFonts w:hAnsi="宋体" w:hint="eastAsia"/>
          <w:color w:val="auto"/>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6.</w:t>
      </w:r>
      <w:r>
        <w:rPr>
          <w:rFonts w:asciiTheme="minorEastAsia" w:hAnsiTheme="minorEastAsia" w:hint="eastAsia"/>
          <w:b/>
          <w:sz w:val="24"/>
          <w:szCs w:val="24"/>
        </w:rPr>
        <w:t>投资标的特有风险</w:t>
      </w:r>
    </w:p>
    <w:p>
      <w:pPr>
        <w:pStyle w:val="Default"/>
        <w:snapToGrid w:val="0"/>
        <w:spacing w:line="360" w:lineRule="auto"/>
        <w:ind w:firstLine="480" w:firstLineChars="200"/>
        <w:rPr>
          <w:rFonts w:hAnsi="宋体"/>
          <w:color w:val="auto"/>
        </w:rPr>
      </w:pPr>
      <w:r>
        <w:rPr>
          <w:rFonts w:hAnsi="宋体" w:hint="eastAsia"/>
          <w:color w:val="auto"/>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pPr>
        <w:pStyle w:val="Default"/>
        <w:snapToGrid w:val="0"/>
        <w:spacing w:line="360" w:lineRule="auto"/>
        <w:ind w:firstLine="480" w:firstLineChars="200"/>
        <w:rPr>
          <w:rFonts w:hAnsi="宋体"/>
          <w:color w:val="auto"/>
        </w:rPr>
      </w:pPr>
      <w:r>
        <w:rPr>
          <w:rFonts w:hAnsi="宋体" w:hint="eastAsia"/>
          <w:color w:val="auto"/>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pPr>
        <w:pStyle w:val="Default"/>
        <w:snapToGrid w:val="0"/>
        <w:spacing w:line="360" w:lineRule="auto"/>
        <w:ind w:firstLine="480" w:firstLineChars="200"/>
        <w:rPr>
          <w:rFonts w:hAnsi="宋体"/>
          <w:color w:val="auto"/>
        </w:rPr>
      </w:pPr>
      <w:r>
        <w:rPr>
          <w:rFonts w:hAnsi="宋体" w:hint="eastAsia"/>
          <w:color w:val="auto"/>
        </w:rPr>
        <w:t>（3）资产支持证券投资风险：资产支持证券项下的基础资产现金流可能未能及时完整取得导致的信用风险；资产支持证券可能的市场成交量不足、缺乏意愿交易对手导致的流动性风险等。</w:t>
      </w:r>
    </w:p>
    <w:p>
      <w:pPr>
        <w:pStyle w:val="Default"/>
        <w:snapToGrid w:val="0"/>
        <w:spacing w:line="360" w:lineRule="auto"/>
        <w:ind w:firstLine="480" w:firstLineChars="200"/>
        <w:rPr>
          <w:rFonts w:hAnsi="宋体"/>
          <w:color w:val="auto"/>
        </w:rPr>
      </w:pPr>
      <w:r>
        <w:rPr>
          <w:rFonts w:hAnsi="宋体" w:hint="eastAsia"/>
          <w:color w:val="auto"/>
        </w:rPr>
        <w:t>（4）非标准化债权投资风险：融资方还款履约能力可能的变化导致的信用风险；债务人提前还款或逾期还款的风险；担保人未能履行担保义务的风险等。</w:t>
      </w:r>
    </w:p>
    <w:p>
      <w:pPr>
        <w:pStyle w:val="Default"/>
        <w:snapToGrid w:val="0"/>
        <w:spacing w:line="360" w:lineRule="auto"/>
        <w:ind w:firstLine="480" w:firstLineChars="200"/>
        <w:rPr>
          <w:rFonts w:hAnsi="宋体"/>
          <w:color w:val="auto"/>
        </w:rPr>
      </w:pPr>
      <w:r>
        <w:rPr>
          <w:rFonts w:hAnsi="宋体" w:hint="eastAsia"/>
          <w:color w:val="auto"/>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pPr>
        <w:pStyle w:val="Default"/>
        <w:snapToGrid w:val="0"/>
        <w:spacing w:line="360" w:lineRule="auto"/>
        <w:ind w:firstLine="480" w:firstLineChars="200"/>
        <w:rPr>
          <w:rFonts w:hAnsi="宋体"/>
          <w:color w:val="auto"/>
        </w:rPr>
      </w:pPr>
      <w:r>
        <w:rPr>
          <w:rFonts w:hAnsi="宋体" w:hint="eastAsia"/>
          <w:color w:val="auto"/>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pPr>
        <w:pStyle w:val="Default"/>
        <w:snapToGrid w:val="0"/>
        <w:spacing w:line="360" w:lineRule="auto"/>
        <w:ind w:firstLine="480" w:firstLineChars="200"/>
        <w:rPr>
          <w:rFonts w:hAnsi="宋体"/>
          <w:color w:val="auto"/>
        </w:rPr>
      </w:pPr>
      <w:r>
        <w:rPr>
          <w:rFonts w:hAnsi="宋体" w:hint="eastAsia"/>
          <w:color w:val="auto"/>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pPr>
        <w:pStyle w:val="Default"/>
        <w:snapToGrid w:val="0"/>
        <w:spacing w:line="360" w:lineRule="auto"/>
        <w:ind w:firstLine="480" w:firstLineChars="200"/>
        <w:rPr>
          <w:rFonts w:hAnsi="宋体"/>
          <w:color w:val="auto"/>
        </w:rPr>
      </w:pPr>
      <w:r>
        <w:rPr>
          <w:rFonts w:hAnsi="宋体" w:hint="eastAsia"/>
          <w:color w:val="auto"/>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pPr>
        <w:pStyle w:val="Default"/>
        <w:snapToGrid w:val="0"/>
        <w:spacing w:line="360" w:lineRule="auto"/>
        <w:ind w:firstLine="480" w:firstLineChars="200"/>
        <w:rPr>
          <w:rFonts w:hAnsi="宋体"/>
          <w:b/>
          <w:color w:val="auto"/>
        </w:rPr>
      </w:pPr>
      <w:r>
        <w:rPr>
          <w:rFonts w:hAnsi="宋体"/>
          <w:b/>
          <w:color w:val="auto"/>
        </w:rPr>
        <w:t>17.</w:t>
      </w:r>
      <w:r>
        <w:rPr>
          <w:rFonts w:hAnsi="宋体" w:hint="eastAsia"/>
          <w:b/>
          <w:color w:val="auto"/>
        </w:rPr>
        <w:t>垫资方垫付资金归还风险</w:t>
      </w:r>
    </w:p>
    <w:p>
      <w:pPr>
        <w:pStyle w:val="Default"/>
        <w:snapToGrid w:val="0"/>
        <w:spacing w:line="360" w:lineRule="auto"/>
        <w:ind w:firstLine="480" w:firstLineChars="200"/>
        <w:rPr>
          <w:rFonts w:hAnsi="宋体"/>
          <w:color w:val="auto"/>
        </w:rPr>
      </w:pPr>
      <w:r>
        <w:rPr>
          <w:rFonts w:hAnsi="宋体" w:hint="eastAsia"/>
          <w:color w:val="auto"/>
        </w:rPr>
        <w:t>如管理人为提高投资者资金使用效率和用户体验，开通使用其他银行提供的赎回或到期款项垫付增值服务，当发生本揭示书第6至9条风险时，投资者需在收到款项当日1</w:t>
      </w:r>
      <w:r>
        <w:rPr>
          <w:rFonts w:hAnsi="宋体"/>
          <w:color w:val="auto"/>
        </w:rPr>
        <w:t>7</w:t>
      </w:r>
      <w:r>
        <w:rPr>
          <w:rFonts w:hAnsi="宋体" w:hint="eastAsia"/>
          <w:color w:val="auto"/>
        </w:rPr>
        <w:t>:</w:t>
      </w:r>
      <w:r>
        <w:rPr>
          <w:rFonts w:hAnsi="宋体"/>
          <w:color w:val="auto"/>
        </w:rPr>
        <w:t>00</w:t>
      </w:r>
      <w:r>
        <w:rPr>
          <w:rFonts w:hAnsi="宋体" w:hint="eastAsia"/>
          <w:color w:val="auto"/>
        </w:rPr>
        <w:t>前将资金归还垫资方。</w:t>
      </w:r>
    </w:p>
    <w:p>
      <w:pPr>
        <w:pStyle w:val="Default"/>
        <w:snapToGrid w:val="0"/>
        <w:spacing w:line="360" w:lineRule="auto"/>
        <w:ind w:firstLine="480" w:firstLineChars="200"/>
        <w:rPr>
          <w:rFonts w:hAnsi="宋体"/>
          <w:b/>
          <w:color w:val="auto"/>
        </w:rPr>
      </w:pPr>
      <w:r>
        <w:rPr>
          <w:rFonts w:hAnsi="宋体" w:hint="eastAsia"/>
          <w:b/>
          <w:color w:val="auto"/>
        </w:rPr>
        <w:t>本《风险揭示书》所揭示的上述风险皆为列举性质，未能详尽列明投资者参与本理财产品所面临的全部风险和可能导致投资者资产损失的所有因素，请投资者充分评估投资风险，</w:t>
      </w:r>
      <w:r>
        <w:rPr>
          <w:rFonts w:hint="eastAsia"/>
          <w:b/>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pPr>
        <w:spacing w:line="360" w:lineRule="auto"/>
        <w:rPr>
          <w:rFonts w:asciiTheme="minorEastAsia" w:hAnsiTheme="minorEastAsia"/>
          <w:sz w:val="24"/>
          <w:szCs w:val="24"/>
          <w:highlight w:val="none"/>
          <w:u w:val="single"/>
        </w:rPr>
      </w:pPr>
      <w:r>
        <w:rPr>
          <w:rFonts w:asciiTheme="minorEastAsia" w:hAnsiTheme="minorEastAsia" w:hint="eastAsia"/>
          <w:sz w:val="24"/>
          <w:szCs w:val="24"/>
          <w:highlight w:val="none"/>
        </w:rPr>
        <w:t>本理财产品代码：</w:t>
      </w:r>
      <w:r>
        <w:rPr>
          <w:rFonts w:asciiTheme="minorEastAsia" w:hAnsiTheme="minorEastAsia"/>
          <w:sz w:val="24"/>
          <w:szCs w:val="24"/>
          <w:highlight w:val="none"/>
          <w:u w:val="single"/>
        </w:rPr>
        <w:t xml:space="preserve"> </w:t>
      </w:r>
      <w:r>
        <w:rPr>
          <w:rFonts w:asciiTheme="minorEastAsia" w:hAnsiTheme="minorEastAsia" w:hint="eastAsia"/>
          <w:sz w:val="24"/>
          <w:szCs w:val="24"/>
          <w:highlight w:val="none"/>
          <w:u w:val="single"/>
        </w:rPr>
        <w:t>CCCJGX25599</w:t>
      </w:r>
      <w:r>
        <w:rPr>
          <w:rFonts w:asciiTheme="minorEastAsia" w:hAnsiTheme="minorEastAsia"/>
          <w:sz w:val="24"/>
          <w:szCs w:val="24"/>
          <w:highlight w:val="none"/>
          <w:u w:val="single"/>
        </w:rPr>
        <w:t xml:space="preserve"> </w:t>
      </w:r>
    </w:p>
    <w:p>
      <w:pPr>
        <w:spacing w:line="360" w:lineRule="auto"/>
        <w:rPr>
          <w:rFonts w:asciiTheme="minorEastAsia" w:hAnsiTheme="minorEastAsia"/>
          <w:sz w:val="24"/>
          <w:szCs w:val="24"/>
          <w:highlight w:val="none"/>
        </w:rPr>
      </w:pPr>
      <w:r>
        <w:rPr>
          <w:rFonts w:asciiTheme="minorEastAsia" w:hAnsiTheme="minorEastAsia" w:hint="eastAsia"/>
          <w:sz w:val="24"/>
          <w:szCs w:val="24"/>
          <w:highlight w:val="none"/>
        </w:rPr>
        <w:t>本理财产品类型：</w:t>
      </w:r>
      <w:r>
        <w:rPr>
          <w:rFonts w:asciiTheme="minorEastAsia" w:hAnsiTheme="minorEastAsia"/>
          <w:sz w:val="24"/>
          <w:szCs w:val="24"/>
          <w:highlight w:val="none"/>
          <w:u w:val="single"/>
        </w:rPr>
        <w:t xml:space="preserve"> </w:t>
      </w:r>
      <w:r>
        <w:rPr>
          <w:rFonts w:asciiTheme="minorEastAsia" w:hAnsiTheme="minorEastAsia" w:hint="eastAsia"/>
          <w:sz w:val="24"/>
          <w:szCs w:val="24"/>
          <w:highlight w:val="none"/>
          <w:u w:val="single"/>
          <w:lang w:val="en-US" w:eastAsia="zh-CN"/>
        </w:rPr>
        <w:t>固定收益类</w:t>
      </w:r>
      <w:r>
        <w:rPr>
          <w:rFonts w:asciiTheme="minorEastAsia" w:hAnsiTheme="minorEastAsia"/>
          <w:sz w:val="24"/>
          <w:szCs w:val="24"/>
          <w:highlight w:val="none"/>
          <w:u w:val="single"/>
        </w:rPr>
        <w:t xml:space="preserve"> </w:t>
      </w:r>
    </w:p>
    <w:p>
      <w:pPr>
        <w:spacing w:line="360" w:lineRule="auto"/>
        <w:rPr>
          <w:rFonts w:asciiTheme="minorEastAsia" w:hAnsiTheme="minorEastAsia"/>
          <w:sz w:val="24"/>
          <w:szCs w:val="24"/>
          <w:highlight w:val="none"/>
        </w:rPr>
      </w:pPr>
      <w:r>
        <w:rPr>
          <w:rFonts w:asciiTheme="minorEastAsia" w:hAnsiTheme="minorEastAsia" w:hint="eastAsia"/>
          <w:sz w:val="24"/>
          <w:szCs w:val="24"/>
          <w:highlight w:val="none"/>
        </w:rPr>
        <w:t xml:space="preserve">本理财投资期限：封闭式 </w:t>
      </w:r>
      <w:r>
        <w:rPr>
          <w:rFonts w:asciiTheme="minorEastAsia" w:hAnsiTheme="minorEastAsia"/>
          <w:sz w:val="24"/>
          <w:szCs w:val="24"/>
          <w:highlight w:val="none"/>
          <w:u w:val="single"/>
        </w:rPr>
        <w:t xml:space="preserve"> </w:t>
      </w:r>
      <w:r>
        <w:rPr>
          <w:rFonts w:asciiTheme="minorEastAsia" w:hAnsiTheme="minorEastAsia" w:hint="eastAsia"/>
          <w:sz w:val="24"/>
          <w:szCs w:val="24"/>
          <w:highlight w:val="none"/>
          <w:u w:val="single"/>
          <w:lang w:val="en-US" w:eastAsia="zh-CN"/>
        </w:rPr>
        <w:t>385</w:t>
      </w:r>
      <w:r>
        <w:rPr>
          <w:rFonts w:asciiTheme="minorEastAsia" w:hAnsiTheme="minorEastAsia"/>
          <w:sz w:val="24"/>
          <w:szCs w:val="24"/>
          <w:highlight w:val="none"/>
          <w:u w:val="single"/>
        </w:rPr>
        <w:t xml:space="preserve"> </w:t>
      </w:r>
      <w:r>
        <w:rPr>
          <w:rFonts w:asciiTheme="minorEastAsia" w:hAnsiTheme="minorEastAsia" w:hint="eastAsia"/>
          <w:sz w:val="24"/>
          <w:szCs w:val="24"/>
          <w:highlight w:val="none"/>
        </w:rPr>
        <w:t>天</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hint="eastAsia"/>
          <w:sz w:val="24"/>
          <w:szCs w:val="24"/>
          <w:highlight w:val="none"/>
        </w:rPr>
        <w:t xml:space="preserve"> </w:t>
      </w:r>
      <w:r>
        <w:rPr>
          <w:rFonts w:asciiTheme="minorEastAsia" w:hAnsiTheme="minorEastAsia"/>
          <w:sz w:val="24"/>
          <w:szCs w:val="24"/>
          <w:highlight w:val="none"/>
        </w:rPr>
        <w:t xml:space="preserve">           </w:t>
      </w:r>
      <w:r>
        <w:rPr>
          <w:rFonts w:asciiTheme="minorEastAsia" w:hAnsiTheme="minorEastAsia" w:hint="eastAsia"/>
          <w:sz w:val="24"/>
          <w:szCs w:val="24"/>
          <w:highlight w:val="none"/>
        </w:rPr>
        <w:t>开放式 □</w:t>
      </w:r>
      <w:r>
        <w:rPr>
          <w:rFonts w:asciiTheme="minorEastAsia" w:hAnsiTheme="minorEastAsia"/>
          <w:sz w:val="24"/>
          <w:szCs w:val="24"/>
          <w:highlight w:val="none"/>
        </w:rPr>
        <w:t>1</w:t>
      </w:r>
      <w:r>
        <w:rPr>
          <w:rFonts w:asciiTheme="minorEastAsia" w:hAnsiTheme="minorEastAsia" w:hint="eastAsia"/>
          <w:sz w:val="24"/>
          <w:szCs w:val="24"/>
          <w:highlight w:val="none"/>
        </w:rPr>
        <w:t>天 □</w:t>
      </w:r>
      <w:r>
        <w:rPr>
          <w:rFonts w:asciiTheme="minorEastAsia" w:hAnsiTheme="minorEastAsia"/>
          <w:sz w:val="24"/>
          <w:szCs w:val="24"/>
          <w:highlight w:val="none"/>
        </w:rPr>
        <w:t>7</w:t>
      </w:r>
      <w:r>
        <w:rPr>
          <w:rFonts w:asciiTheme="minorEastAsia" w:hAnsiTheme="minorEastAsia" w:hint="eastAsia"/>
          <w:sz w:val="24"/>
          <w:szCs w:val="24"/>
          <w:highlight w:val="none"/>
        </w:rPr>
        <w:t>天 □</w:t>
      </w:r>
      <w:r>
        <w:rPr>
          <w:rFonts w:asciiTheme="minorEastAsia" w:hAnsiTheme="minorEastAsia"/>
          <w:sz w:val="24"/>
          <w:szCs w:val="24"/>
          <w:highlight w:val="none"/>
        </w:rPr>
        <w:t>14</w:t>
      </w:r>
      <w:r>
        <w:rPr>
          <w:rFonts w:asciiTheme="minorEastAsia" w:hAnsiTheme="minorEastAsia" w:hint="eastAsia"/>
          <w:sz w:val="24"/>
          <w:szCs w:val="24"/>
          <w:highlight w:val="none"/>
        </w:rPr>
        <w:t>天 □</w:t>
      </w:r>
      <w:r>
        <w:rPr>
          <w:rFonts w:asciiTheme="minorEastAsia" w:hAnsiTheme="minorEastAsia"/>
          <w:sz w:val="24"/>
          <w:szCs w:val="24"/>
          <w:highlight w:val="none"/>
        </w:rPr>
        <w:t>30</w:t>
      </w:r>
      <w:r>
        <w:rPr>
          <w:rFonts w:asciiTheme="minorEastAsia" w:hAnsiTheme="minorEastAsia" w:hint="eastAsia"/>
          <w:sz w:val="24"/>
          <w:szCs w:val="24"/>
          <w:highlight w:val="none"/>
        </w:rPr>
        <w:t>天（1个月） □其他</w:t>
      </w:r>
      <w:r>
        <w:rPr>
          <w:rFonts w:asciiTheme="minorEastAsia" w:hAnsiTheme="minorEastAsia" w:hint="eastAsia"/>
          <w:sz w:val="24"/>
          <w:szCs w:val="24"/>
          <w:highlight w:val="none"/>
          <w:u w:val="single"/>
        </w:rPr>
        <w:t xml:space="preserve"> </w:t>
      </w:r>
      <w:r>
        <w:rPr>
          <w:rFonts w:asciiTheme="minorEastAsia" w:hAnsiTheme="minorEastAsia"/>
          <w:sz w:val="24"/>
          <w:szCs w:val="24"/>
          <w:highlight w:val="none"/>
          <w:u w:val="single"/>
        </w:rPr>
        <w:t xml:space="preserve">  </w:t>
      </w:r>
    </w:p>
    <w:p>
      <w:pPr>
        <w:spacing w:line="360" w:lineRule="auto"/>
        <w:rPr>
          <w:rFonts w:asciiTheme="minorEastAsia" w:hAnsiTheme="minorEastAsia"/>
          <w:sz w:val="24"/>
          <w:szCs w:val="24"/>
          <w:highlight w:val="none"/>
        </w:rPr>
      </w:pPr>
      <w:r>
        <w:rPr>
          <w:rFonts w:asciiTheme="minorEastAsia" w:hAnsiTheme="minorEastAsia" w:hint="eastAsia"/>
          <w:sz w:val="24"/>
          <w:szCs w:val="24"/>
          <w:highlight w:val="none"/>
        </w:rPr>
        <w:t>(注意：实际投资期限受提前终止等理财产品说明书相关条款和内容的约束)。</w:t>
      </w:r>
    </w:p>
    <w:p>
      <w:pPr>
        <w:spacing w:line="360" w:lineRule="auto"/>
        <w:rPr>
          <w:rFonts w:asciiTheme="minorEastAsia" w:hAnsiTheme="minorEastAsia"/>
          <w:sz w:val="24"/>
          <w:szCs w:val="24"/>
          <w:highlight w:val="none"/>
        </w:rPr>
      </w:pPr>
      <w:r>
        <w:rPr>
          <w:rFonts w:asciiTheme="minorEastAsia" w:hAnsiTheme="minorEastAsia" w:hint="eastAsia"/>
          <w:sz w:val="24"/>
          <w:szCs w:val="24"/>
          <w:highlight w:val="none"/>
        </w:rPr>
        <w:t>本理财计划内部风险评级为:</w:t>
      </w:r>
    </w:p>
    <w:p>
      <w:pPr>
        <w:spacing w:line="360" w:lineRule="auto"/>
        <w:ind w:firstLine="480" w:firstLineChars="200"/>
        <w:rPr>
          <w:rFonts w:asciiTheme="minorEastAsia" w:hAnsiTheme="minorEastAsia"/>
          <w:sz w:val="24"/>
          <w:szCs w:val="24"/>
          <w:highlight w:val="none"/>
        </w:rPr>
      </w:pPr>
      <w:r>
        <w:rPr>
          <w:rFonts w:asciiTheme="minorEastAsia" w:hAnsiTheme="minorEastAsia" w:hint="eastAsia"/>
          <w:sz w:val="24"/>
          <w:szCs w:val="24"/>
          <w:highlight w:val="none"/>
        </w:rPr>
        <w:t>□谨慎型产品 (★)，适合风险承受能力评级为谨慎型及以上的客户购买。</w:t>
      </w:r>
    </w:p>
    <w:p>
      <w:pPr>
        <w:spacing w:line="360" w:lineRule="auto"/>
        <w:ind w:firstLine="480" w:firstLineChars="200"/>
        <w:rPr>
          <w:rFonts w:asciiTheme="minorEastAsia" w:hAnsiTheme="minorEastAsia"/>
          <w:sz w:val="24"/>
          <w:szCs w:val="24"/>
          <w:highlight w:val="none"/>
        </w:rPr>
      </w:pPr>
      <w:r>
        <w:rPr>
          <w:rFonts w:asciiTheme="minorEastAsia" w:hAnsiTheme="minorEastAsia" w:hint="eastAsia"/>
          <w:sz w:val="24"/>
          <w:szCs w:val="24"/>
          <w:highlight w:val="none"/>
          <w:lang w:eastAsia="zh-CN"/>
        </w:rPr>
        <w:t>☑</w:t>
      </w:r>
      <w:r>
        <w:rPr>
          <w:rFonts w:asciiTheme="minorEastAsia" w:hAnsiTheme="minorEastAsia" w:hint="eastAsia"/>
          <w:sz w:val="24"/>
          <w:szCs w:val="24"/>
          <w:highlight w:val="none"/>
        </w:rPr>
        <w:t>稳健型产品(★★)，适合风险承受能力评级为稳健型及以上的客户购买。</w:t>
      </w:r>
    </w:p>
    <w:p>
      <w:pPr>
        <w:spacing w:line="360" w:lineRule="auto"/>
        <w:ind w:firstLine="480" w:firstLineChars="200"/>
        <w:rPr>
          <w:rFonts w:asciiTheme="minorEastAsia" w:hAnsiTheme="minorEastAsia" w:hint="eastAsia"/>
          <w:sz w:val="24"/>
          <w:szCs w:val="24"/>
          <w:highlight w:val="none"/>
        </w:rPr>
      </w:pPr>
      <w:r>
        <w:rPr>
          <w:rFonts w:asciiTheme="minorEastAsia" w:hAnsiTheme="minorEastAsia" w:hint="eastAsia"/>
          <w:sz w:val="24"/>
          <w:szCs w:val="24"/>
          <w:highlight w:val="none"/>
        </w:rPr>
        <w:t>□平衡型产品（★★★)，适合风险承受能力评级为平衡型及以上的客户购买。</w:t>
      </w:r>
    </w:p>
    <w:p>
      <w:pPr>
        <w:spacing w:line="360" w:lineRule="auto"/>
        <w:ind w:firstLine="480" w:firstLineChars="200"/>
        <w:rPr>
          <w:rFonts w:asciiTheme="minorEastAsia" w:hAnsiTheme="minorEastAsia"/>
          <w:sz w:val="24"/>
          <w:szCs w:val="24"/>
          <w:highlight w:val="none"/>
        </w:rPr>
      </w:pPr>
      <w:r>
        <w:rPr>
          <w:rFonts w:asciiTheme="minorEastAsia" w:hAnsiTheme="minorEastAsia" w:hint="eastAsia"/>
          <w:sz w:val="24"/>
          <w:szCs w:val="24"/>
          <w:highlight w:val="none"/>
        </w:rPr>
        <w:t>□进取型产品(★★★★)，适合风险承受能力评级为进取型及以上的客户购买。</w:t>
      </w:r>
    </w:p>
    <w:p>
      <w:pPr>
        <w:spacing w:line="360" w:lineRule="auto"/>
        <w:ind w:firstLine="480" w:firstLineChars="200"/>
        <w:rPr>
          <w:rFonts w:asciiTheme="minorEastAsia" w:hAnsiTheme="minorEastAsia" w:hint="eastAsia"/>
          <w:sz w:val="24"/>
          <w:szCs w:val="24"/>
          <w:highlight w:val="none"/>
        </w:rPr>
      </w:pPr>
      <w:r>
        <w:rPr>
          <w:rFonts w:asciiTheme="minorEastAsia" w:hAnsiTheme="minorEastAsia" w:hint="eastAsia"/>
          <w:sz w:val="24"/>
          <w:szCs w:val="24"/>
          <w:highlight w:val="none"/>
        </w:rPr>
        <w:t>□激进型产品(★★★★★)，适合风险承受能力评级为激进型的客户购买。</w:t>
      </w:r>
    </w:p>
    <w:p>
      <w:pPr>
        <w:spacing w:line="360" w:lineRule="auto"/>
        <w:ind w:firstLine="480" w:firstLineChars="200"/>
        <w:rPr>
          <w:rFonts w:asciiTheme="minorEastAsia" w:hAnsiTheme="minorEastAsia"/>
          <w:b/>
          <w:bCs/>
          <w:sz w:val="24"/>
          <w:szCs w:val="24"/>
        </w:rPr>
      </w:pPr>
      <w:r>
        <w:rPr>
          <w:rFonts w:asciiTheme="minorEastAsia" w:hAnsiTheme="minorEastAsia" w:hint="eastAsia"/>
          <w:b/>
          <w:bCs/>
          <w:sz w:val="24"/>
          <w:szCs w:val="24"/>
        </w:rPr>
        <w:t>个人客户须满足风险承受能力与适合购买理财产品的对应关系。如影响您风险承受能力的因素发生变化，请您及时更新完成风险承受能力评估。</w:t>
      </w:r>
    </w:p>
    <w:p>
      <w:pPr>
        <w:spacing w:line="360" w:lineRule="auto"/>
        <w:ind w:firstLine="4560" w:firstLineChars="1900"/>
        <w:rPr>
          <w:rFonts w:asciiTheme="minorEastAsia" w:hAnsiTheme="minorEastAsia"/>
          <w:sz w:val="24"/>
          <w:szCs w:val="24"/>
        </w:rPr>
      </w:pPr>
      <w:r>
        <w:rPr>
          <w:rFonts w:asciiTheme="minorEastAsia" w:hAnsiTheme="minorEastAsia" w:hint="eastAsia"/>
          <w:sz w:val="24"/>
          <w:szCs w:val="24"/>
        </w:rPr>
        <w:t>风险提示方:青银理财有限责任公司</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560" w:firstLineChars="200"/>
        <w:jc w:val="center"/>
        <w:rPr>
          <w:rFonts w:asciiTheme="minorEastAsia" w:hAnsiTheme="minorEastAsia"/>
          <w:b/>
          <w:sz w:val="28"/>
          <w:szCs w:val="24"/>
        </w:rPr>
      </w:pPr>
      <w:r>
        <w:rPr>
          <w:rFonts w:asciiTheme="minorEastAsia" w:hAnsiTheme="minorEastAsia" w:hint="eastAsia"/>
          <w:b/>
          <w:sz w:val="28"/>
          <w:szCs w:val="24"/>
        </w:rPr>
        <w:t>客户确认栏</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本人/公司确认如下:</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2.经销售机构评估，本人风险承受能力评级为: □谨慎型  □稳健型  □平衡型  □进取型 □激进型</w:t>
      </w:r>
    </w:p>
    <w:p>
      <w:pPr>
        <w:spacing w:line="360" w:lineRule="auto"/>
        <w:ind w:firstLine="480" w:firstLineChars="200"/>
        <w:rPr>
          <w:rFonts w:asciiTheme="minorEastAsia" w:hAnsiTheme="minorEastAsia"/>
          <w:b/>
          <w:sz w:val="24"/>
          <w:szCs w:val="24"/>
        </w:rPr>
      </w:pPr>
      <w:r>
        <w:rPr>
          <w:rFonts w:asciiTheme="minorEastAsia" w:hAnsiTheme="minorEastAsia" w:hint="eastAsia"/>
          <w:sz w:val="24"/>
          <w:szCs w:val="24"/>
        </w:rPr>
        <w:t>3.客户需抄录以下语句完成确认:</w:t>
      </w:r>
      <w:r>
        <w:rPr>
          <w:rFonts w:asciiTheme="minorEastAsia" w:hAnsiTheme="minorEastAsia" w:hint="eastAsia"/>
          <w:b/>
          <w:sz w:val="24"/>
          <w:szCs w:val="24"/>
        </w:rPr>
        <w:t>“本人/公司已经阅读风险提示，充分了解并清楚知晓本理财计划的风险，愿意承担投资风险。”</w:t>
      </w:r>
    </w:p>
    <w:p>
      <w:pPr>
        <w:spacing w:line="360" w:lineRule="auto"/>
        <w:ind w:firstLine="480" w:firstLineChars="200"/>
        <w:rPr>
          <w:rFonts w:asciiTheme="minorEastAsia" w:hAnsiTheme="minorEastAsia"/>
          <w:sz w:val="24"/>
          <w:szCs w:val="24"/>
        </w:rPr>
      </w:pPr>
    </w:p>
    <w:p>
      <w:pPr>
        <w:spacing w:line="360" w:lineRule="auto"/>
        <w:rPr>
          <w:rFonts w:asciiTheme="minorEastAsia" w:hAnsiTheme="minorEastAsia"/>
          <w:sz w:val="24"/>
          <w:szCs w:val="24"/>
          <w:u w:val="single"/>
        </w:rPr>
      </w:pPr>
      <w:r>
        <w:rPr>
          <w:rFonts w:asciiTheme="minorEastAsia" w:hAnsiTheme="minorEastAsia" w:hint="eastAsia"/>
          <w:sz w:val="24"/>
          <w:szCs w:val="24"/>
          <w:u w:val="single"/>
        </w:rPr>
        <w:t xml:space="preserve">                                                                     </w:t>
      </w:r>
    </w:p>
    <w:p>
      <w:pPr>
        <w:spacing w:line="360" w:lineRule="auto"/>
        <w:ind w:firstLine="480" w:firstLineChars="200"/>
        <w:rPr>
          <w:rFonts w:asciiTheme="minorEastAsia" w:hAnsiTheme="minorEastAsia"/>
          <w:sz w:val="24"/>
          <w:szCs w:val="24"/>
        </w:rPr>
      </w:pPr>
    </w:p>
    <w:p>
      <w:pPr>
        <w:spacing w:line="360" w:lineRule="auto"/>
        <w:ind w:firstLine="480" w:firstLineChars="200"/>
        <w:jc w:val="left"/>
        <w:rPr>
          <w:rFonts w:asciiTheme="minorEastAsia" w:hAnsiTheme="minorEastAsia"/>
          <w:sz w:val="24"/>
          <w:szCs w:val="24"/>
        </w:rPr>
      </w:pPr>
      <w:r>
        <w:rPr>
          <w:rFonts w:asciiTheme="minorEastAsia" w:hAnsiTheme="minorEastAsia" w:hint="eastAsia"/>
          <w:sz w:val="24"/>
          <w:szCs w:val="24"/>
        </w:rPr>
        <w:t>确认人(个人客户签字):</w:t>
      </w:r>
      <w:r>
        <w:rPr>
          <w:rFonts w:asciiTheme="minorEastAsia" w:hAnsiTheme="minorEastAsia"/>
          <w:sz w:val="24"/>
          <w:szCs w:val="24"/>
        </w:rPr>
        <w:t xml:space="preserve">            </w:t>
      </w:r>
      <w:r>
        <w:rPr>
          <w:rFonts w:asciiTheme="minorEastAsia" w:hAnsiTheme="minorEastAsia" w:hint="eastAsia"/>
          <w:sz w:val="24"/>
          <w:szCs w:val="24"/>
        </w:rPr>
        <w:t>确认人(机构客户签章):</w:t>
      </w:r>
    </w:p>
    <w:p>
      <w:pPr>
        <w:spacing w:line="360" w:lineRule="auto"/>
        <w:ind w:left="420" w:firstLine="4080" w:leftChars="200" w:firstLineChars="1700"/>
        <w:jc w:val="left"/>
        <w:rPr>
          <w:rFonts w:asciiTheme="minorEastAsia" w:hAnsiTheme="minorEastAsia"/>
          <w:sz w:val="24"/>
          <w:szCs w:val="24"/>
        </w:rPr>
      </w:pPr>
      <w:r>
        <w:rPr>
          <w:rFonts w:asciiTheme="minorEastAsia" w:hAnsiTheme="minorEastAsia"/>
          <w:sz w:val="24"/>
          <w:szCs w:val="24"/>
        </w:rPr>
        <w:t>机构客户法定代表人或授权代表</w:t>
      </w:r>
    </w:p>
    <w:p>
      <w:pPr>
        <w:spacing w:line="360" w:lineRule="auto"/>
        <w:ind w:left="420" w:firstLine="4080" w:leftChars="200" w:firstLineChars="1700"/>
        <w:jc w:val="left"/>
        <w:rPr>
          <w:rFonts w:asciiTheme="minorEastAsia" w:hAnsiTheme="minorEastAsia"/>
          <w:sz w:val="24"/>
          <w:szCs w:val="24"/>
        </w:rPr>
      </w:pPr>
      <w:r>
        <w:rPr>
          <w:rFonts w:asciiTheme="minorEastAsia" w:hAnsiTheme="minorEastAsia"/>
          <w:sz w:val="24"/>
          <w:szCs w:val="24"/>
        </w:rPr>
        <w:t>（签字或盖章）</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 xml:space="preserve">                       签署日期:</w:t>
      </w:r>
      <w:r>
        <w:rPr>
          <w:rFonts w:asciiTheme="minorEastAsia" w:hAnsiTheme="minorEastAsia" w:hint="eastAsia"/>
          <w:sz w:val="24"/>
          <w:szCs w:val="24"/>
          <w:u w:val="single"/>
        </w:rPr>
        <w:t xml:space="preserve">    </w:t>
      </w:r>
      <w:r>
        <w:rPr>
          <w:rFonts w:asciiTheme="minorEastAsia" w:hAnsiTheme="minorEastAsia" w:hint="eastAsia"/>
          <w:sz w:val="24"/>
          <w:szCs w:val="24"/>
        </w:rPr>
        <w:t>年__月__日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F"/>
    <w:rsid w:val="00032C25"/>
    <w:rsid w:val="00067DEC"/>
    <w:rsid w:val="00083945"/>
    <w:rsid w:val="000A2B76"/>
    <w:rsid w:val="000C52CF"/>
    <w:rsid w:val="000E4C52"/>
    <w:rsid w:val="000F7C19"/>
    <w:rsid w:val="00100506"/>
    <w:rsid w:val="00123148"/>
    <w:rsid w:val="00136DB3"/>
    <w:rsid w:val="00140178"/>
    <w:rsid w:val="001419E3"/>
    <w:rsid w:val="00144692"/>
    <w:rsid w:val="001512CC"/>
    <w:rsid w:val="00151EF6"/>
    <w:rsid w:val="001B6C59"/>
    <w:rsid w:val="001E7DB3"/>
    <w:rsid w:val="001F72AC"/>
    <w:rsid w:val="00200A16"/>
    <w:rsid w:val="0020178A"/>
    <w:rsid w:val="002124C5"/>
    <w:rsid w:val="002319AE"/>
    <w:rsid w:val="00243152"/>
    <w:rsid w:val="0026046F"/>
    <w:rsid w:val="00264935"/>
    <w:rsid w:val="002C4805"/>
    <w:rsid w:val="002F618D"/>
    <w:rsid w:val="003142C1"/>
    <w:rsid w:val="00332A01"/>
    <w:rsid w:val="0037148F"/>
    <w:rsid w:val="00376F1B"/>
    <w:rsid w:val="003A06C8"/>
    <w:rsid w:val="00400F86"/>
    <w:rsid w:val="00406DED"/>
    <w:rsid w:val="00414D5C"/>
    <w:rsid w:val="004409BD"/>
    <w:rsid w:val="00447397"/>
    <w:rsid w:val="00461BB8"/>
    <w:rsid w:val="004828CF"/>
    <w:rsid w:val="00493B0D"/>
    <w:rsid w:val="004A26B0"/>
    <w:rsid w:val="004A6B83"/>
    <w:rsid w:val="004D7FD4"/>
    <w:rsid w:val="004E69DE"/>
    <w:rsid w:val="004F54FD"/>
    <w:rsid w:val="00532CA6"/>
    <w:rsid w:val="00550829"/>
    <w:rsid w:val="005A4D1A"/>
    <w:rsid w:val="005C4117"/>
    <w:rsid w:val="005D4196"/>
    <w:rsid w:val="005D6063"/>
    <w:rsid w:val="005E6448"/>
    <w:rsid w:val="00600139"/>
    <w:rsid w:val="006015AC"/>
    <w:rsid w:val="00647F7C"/>
    <w:rsid w:val="00690E09"/>
    <w:rsid w:val="006A5ADC"/>
    <w:rsid w:val="006B7B0E"/>
    <w:rsid w:val="006C6070"/>
    <w:rsid w:val="006D0225"/>
    <w:rsid w:val="006D04ED"/>
    <w:rsid w:val="006F058D"/>
    <w:rsid w:val="00717C8B"/>
    <w:rsid w:val="00720581"/>
    <w:rsid w:val="007472B5"/>
    <w:rsid w:val="00752EC1"/>
    <w:rsid w:val="007702A1"/>
    <w:rsid w:val="00780FC5"/>
    <w:rsid w:val="007876FF"/>
    <w:rsid w:val="007D5BFC"/>
    <w:rsid w:val="007E3FA7"/>
    <w:rsid w:val="007E458E"/>
    <w:rsid w:val="007F4FDB"/>
    <w:rsid w:val="00831173"/>
    <w:rsid w:val="00840E8C"/>
    <w:rsid w:val="00845911"/>
    <w:rsid w:val="00896EE1"/>
    <w:rsid w:val="008E4C47"/>
    <w:rsid w:val="008F1924"/>
    <w:rsid w:val="008F3319"/>
    <w:rsid w:val="008F7E6D"/>
    <w:rsid w:val="00910822"/>
    <w:rsid w:val="009660CE"/>
    <w:rsid w:val="009B54A1"/>
    <w:rsid w:val="009C7549"/>
    <w:rsid w:val="009D446B"/>
    <w:rsid w:val="00A26E94"/>
    <w:rsid w:val="00A3426C"/>
    <w:rsid w:val="00A4389C"/>
    <w:rsid w:val="00A457A7"/>
    <w:rsid w:val="00A515D3"/>
    <w:rsid w:val="00A678D1"/>
    <w:rsid w:val="00A76265"/>
    <w:rsid w:val="00AA20FB"/>
    <w:rsid w:val="00AB5766"/>
    <w:rsid w:val="00AC6873"/>
    <w:rsid w:val="00B16CA9"/>
    <w:rsid w:val="00B23D0A"/>
    <w:rsid w:val="00BD7789"/>
    <w:rsid w:val="00BF6A23"/>
    <w:rsid w:val="00C23B10"/>
    <w:rsid w:val="00C301A6"/>
    <w:rsid w:val="00C36B4D"/>
    <w:rsid w:val="00C754E8"/>
    <w:rsid w:val="00C76387"/>
    <w:rsid w:val="00C860C0"/>
    <w:rsid w:val="00CC2A0F"/>
    <w:rsid w:val="00D231E1"/>
    <w:rsid w:val="00D40B46"/>
    <w:rsid w:val="00D4799E"/>
    <w:rsid w:val="00D54B84"/>
    <w:rsid w:val="00D64270"/>
    <w:rsid w:val="00D9024E"/>
    <w:rsid w:val="00DA2DAF"/>
    <w:rsid w:val="00DA7F4B"/>
    <w:rsid w:val="00DB761A"/>
    <w:rsid w:val="00DD7B50"/>
    <w:rsid w:val="00DE3FC4"/>
    <w:rsid w:val="00DF49C5"/>
    <w:rsid w:val="00E24774"/>
    <w:rsid w:val="00E53C36"/>
    <w:rsid w:val="00E97E46"/>
    <w:rsid w:val="00EB1736"/>
    <w:rsid w:val="00EB57A5"/>
    <w:rsid w:val="00EE156A"/>
    <w:rsid w:val="00F05572"/>
    <w:rsid w:val="00F24E5E"/>
    <w:rsid w:val="00F367BA"/>
    <w:rsid w:val="00F4637E"/>
    <w:rsid w:val="00F53E30"/>
    <w:rsid w:val="00F71D0A"/>
    <w:rsid w:val="00F76735"/>
    <w:rsid w:val="00FD5F59"/>
    <w:rsid w:val="00FD63C6"/>
    <w:rsid w:val="00FF139E"/>
    <w:rsid w:val="709409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a1"/>
    <w:uiPriority w:val="99"/>
    <w:semiHidden/>
    <w:unhideWhenUsed/>
    <w:pPr>
      <w:jc w:val="left"/>
    </w:pPr>
  </w:style>
  <w:style w:type="paragraph" w:styleId="BalloonText">
    <w:name w:val="Balloon Text"/>
    <w:basedOn w:val="Normal"/>
    <w:link w:val="a3"/>
    <w:uiPriority w:val="99"/>
    <w:semiHidden/>
    <w:unhideWhenUsed/>
    <w:rPr>
      <w:sz w:val="18"/>
      <w:szCs w:val="18"/>
    </w:r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2"/>
    <w:uiPriority w:val="99"/>
    <w:semiHidden/>
    <w:unhideWhenUsed/>
    <w:rPr>
      <w:b/>
      <w:bCs/>
    </w:rPr>
  </w:style>
  <w:style w:type="character" w:styleId="CommentReference">
    <w:name w:val="annotation reference"/>
    <w:basedOn w:val="DefaultParagraphFont"/>
    <w:uiPriority w:val="99"/>
    <w:semiHidden/>
    <w:unhideWhenUsed/>
    <w:rPr>
      <w:sz w:val="21"/>
      <w:szCs w:val="21"/>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Revision">
    <w:name w:val="Revision"/>
    <w:hidden/>
    <w:uiPriority w:val="99"/>
    <w:semiHidden/>
    <w:rPr>
      <w:rFonts w:asciiTheme="minorHAnsi" w:eastAsiaTheme="minorEastAsia" w:hAnsiTheme="minorHAnsi" w:cstheme="minorBidi"/>
      <w:kern w:val="2"/>
      <w:sz w:val="21"/>
      <w:szCs w:val="22"/>
      <w:lang w:val="en-US" w:eastAsia="zh-CN" w:bidi="ar-SA"/>
    </w:rPr>
  </w:style>
  <w:style w:type="character" w:customStyle="1" w:styleId="a1">
    <w:name w:val="批注文字 字符"/>
    <w:basedOn w:val="DefaultParagraphFont"/>
    <w:link w:val="CommentText"/>
    <w:uiPriority w:val="99"/>
    <w:semiHidden/>
  </w:style>
  <w:style w:type="character" w:customStyle="1" w:styleId="a2">
    <w:name w:val="批注主题 字符"/>
    <w:basedOn w:val="a1"/>
    <w:link w:val="CommentSubject"/>
    <w:uiPriority w:val="99"/>
    <w:semiHidden/>
    <w:rPr>
      <w:b/>
      <w:bCs/>
    </w:rPr>
  </w:style>
  <w:style w:type="paragraph" w:customStyle="1" w:styleId="Default">
    <w:name w:val="Default"/>
    <w:pPr>
      <w:widowControl w:val="0"/>
      <w:autoSpaceDE w:val="0"/>
      <w:autoSpaceDN w:val="0"/>
      <w:adjustRightInd w:val="0"/>
    </w:pPr>
    <w:rPr>
      <w:rFonts w:ascii="宋体" w:eastAsia="宋体" w:hAnsi="Times New Roman" w:cs="宋体"/>
      <w:color w:val="000000"/>
      <w:kern w:val="0"/>
      <w:sz w:val="24"/>
      <w:szCs w:val="24"/>
      <w:lang w:val="en-US" w:eastAsia="zh-CN" w:bidi="ar-SA"/>
    </w:rPr>
  </w:style>
  <w:style w:type="character" w:customStyle="1" w:styleId="a3">
    <w:name w:val="批注框文本 字符"/>
    <w:basedOn w:val="DefaultParagraphFont"/>
    <w:link w:val="Balloon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9</Pages>
  <Words>1002</Words>
  <Characters>5718</Characters>
  <Application>Microsoft Office Word</Application>
  <DocSecurity>0</DocSecurity>
  <Lines>47</Lines>
  <Paragraphs>13</Paragraphs>
  <ScaleCrop>false</ScaleCrop>
  <Company>Microsoft</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QD23600007</cp:lastModifiedBy>
  <cp:revision>14</cp:revision>
  <cp:lastPrinted>2024-02-27T01:42:00Z</cp:lastPrinted>
  <dcterms:created xsi:type="dcterms:W3CDTF">2024-07-10T09:22:00Z</dcterms:created>
  <dcterms:modified xsi:type="dcterms:W3CDTF">2025-07-02T02:03:56Z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5F4FCC13D9F54CD8AAA4D17E47D0B225_12</vt:lpwstr>
  </property>
  <property fmtid="{D5CDD505-2E9C-101B-9397-08002B2CF9AE}" pid="3" name="KSOProductBuildVer">
    <vt:lpwstr>2052-12.1.0.15358</vt:lpwstr>
  </property>
</Properties>
</file>