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pPr>
        <w:spacing w:line="360" w:lineRule="auto"/>
        <w:rPr>
          <w:rFonts w:ascii="新宋体" w:eastAsia="新宋体" w:hAnsi="新宋体" w:cs="宋体" w:hint="eastAsia"/>
          <w:b/>
          <w:kern w:val="0"/>
          <w:szCs w:val="21"/>
        </w:rPr>
      </w:pPr>
    </w:p>
    <w:p>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美国政府、欧盟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pPr>
        <w:snapToGrid w:val="0"/>
        <w:spacing w:line="360" w:lineRule="auto"/>
        <w:jc w:val="left"/>
        <w:rPr>
          <w:rFonts w:ascii="新宋体" w:eastAsia="新宋体" w:hAnsi="新宋体" w:hint="eastAsia"/>
        </w:rPr>
      </w:pPr>
      <w:r>
        <w:rPr>
          <w:rFonts w:ascii="新宋体" w:eastAsia="新宋体" w:hAnsi="新宋体" w:hint="eastAsia"/>
        </w:rPr>
        <w:t>尊敬的客户：</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0" w:type="dxa"/>
          <w:left w:w="108" w:type="dxa"/>
          <w:bottom w:w="0" w:type="dxa"/>
          <w:right w:w="108" w:type="dxa"/>
        </w:tblCellMar>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0" w:type="dxa"/>
            <w:left w:w="108" w:type="dxa"/>
            <w:bottom w:w="0" w:type="dxa"/>
            <w:right w:w="108" w:type="dxa"/>
          </w:tblCellMar>
          <w:tblLook w:val="0000"/>
        </w:tblPrEx>
        <w:trPr>
          <w:trHeight w:val="298"/>
        </w:trPr>
        <w:tc>
          <w:tcPr>
            <w:tcW w:w="9306" w:type="dxa"/>
            <w:gridSpan w:val="2"/>
            <w:vAlign w:val="center"/>
          </w:tcPr>
          <w:p>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青银理财璀璨人生成就系列人民币理财计划2025年590期</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pPr>
              <w:spacing w:line="360" w:lineRule="auto"/>
              <w:rPr>
                <w:rFonts w:ascii="新宋体" w:eastAsia="新宋体" w:hAnsi="新宋体" w:hint="eastAsia"/>
              </w:rPr>
            </w:pPr>
            <w:r>
              <w:rPr>
                <w:rFonts w:ascii="新宋体" w:eastAsia="新宋体" w:hAnsi="新宋体"/>
              </w:rPr>
              <w:t>青银理财成就系列（低波共享）2025年590期</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pPr>
              <w:spacing w:line="360" w:lineRule="auto"/>
              <w:rPr>
                <w:rFonts w:ascii="新宋体" w:eastAsia="新宋体" w:hAnsi="新宋体" w:hint="eastAsia"/>
              </w:rPr>
            </w:pPr>
            <w:r>
              <w:rPr>
                <w:rFonts w:ascii="新宋体" w:eastAsia="新宋体" w:hAnsi="新宋体"/>
              </w:rPr>
              <w:t>CCCJGX25590</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pPr>
              <w:spacing w:line="360" w:lineRule="auto"/>
              <w:rPr>
                <w:rFonts w:ascii="新宋体" w:eastAsia="新宋体" w:hAnsi="新宋体"/>
              </w:rPr>
            </w:pPr>
            <w:r>
              <w:rPr>
                <w:rFonts w:ascii="新宋体" w:eastAsia="新宋体" w:hAnsi="新宋体" w:hint="eastAsia"/>
              </w:rPr>
              <w:t>A份额，销售代码【CCCJGX25590A】，销售名称：青银理财成就系列（低波共享）2025年590期A份额（理财新客专属）,销售对象【青岛银行及各销售服务渠道个人及机构客户，具体客户类型以销售机构规定为准】</w:t>
              <w:br/>
              <w:t>B份额，销售代码【CCCJGX25590B】，销售名称：青银理财成就系列（低波共享）2025年590期B份额（特邀客户）,销售对象【青岛银行及各销售服务渠道个人及机构客户，具体客户类型以销售机构规定为准】</w:t>
              <w:br/>
              <w:t>C份额，销售代码【CCCJGX25590C】，销售名称：青银理财成就系列（低波共享）2025年590期C份额（代发专属）,销售对象【青岛银行及各销售服务渠道个人及机构客户，具体客户类型以销售机构规定为准】</w:t>
              <w:br/>
              <w:t>D份额，销售代码【CCCJGX25590D】，销售名称：青银理财成就系列（低波共享）2025年590期D份额,销售对象【青岛银行及各销售服务渠道个人及机构客户，具体客户类型以销售机构规定为准】</w:t>
              <w:br/>
              <w:t>E份额，销售代码【CCCJGX25590E】，销售名称：青银理财成就系列（低波共享）2025年590期E份额,销售对象【九江银行及各销售服务渠道个人及机构客户，具体客户类型以销售机构规定为准】</w:t>
              <w:br/>
              <w:t>F份额，销售代码【CCCJGX25590F】，销售名称：青银理财成就系列（低波共享）2025年590期F份额,销售对象【珠海农商银行及各销售服务渠道个人及机构客户，具体客户类型以销售机构规定为准】</w:t>
              <w:br/>
              <w:t>G份额，销售代码【CCCJGX25590G】，销售名称：青银理财成就系列（低波共享）2025年590期G份额,销售对象【青银理财直销APP及各销售服务渠道个人及机构客户，具体客户类型以销售机构规定为准】</w:t>
              <w:br/>
              <w:t>H份额，销售代码【CCCJGX25590H】，销售名称：青银理财成就系列（低波共享）2025年590期H份额,销售对象【吉林银行及各销售服务渠道个人及机构客户，具体客户类型以销售机构规定为准】</w:t>
              <w:br/>
              <w:t>I份额，销售代码【CCCJGX25590I】，销售名称：青银理财成就系列（低波共享）2025年590期I份额,销售对象【湖南银行及各销售服务渠道个人及机构客户，具体客户类型以销售机构规定为准】</w:t>
              <w:br/>
              <w:t>J份额，销售代码【CCCJGX25590J】，销售名称：青银理财成就系列（低波共享）2025年590期J份额,销售对象【浙江海宁农商银行及各销售服务渠道个人及机构客户，具体客户类型以销售机构规定为准】</w:t>
              <w:br/>
              <w:t>K份额，销售代码【CCCJGX25590K】，销售名称：青银理财成就系列（低波共享）2025年590期K份额（中山农商银行特邀客户专享）,销售对象【中山农商银行及各销售服务渠道个人及机构客户，具体客户类型以销售机构规定为准】</w:t>
            </w:r>
          </w:p>
          <w:p>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Z7003525000609，可通过中国理财网（http://www.chinawealth.com.cn）查询</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pPr>
              <w:spacing w:line="360" w:lineRule="auto"/>
              <w:rPr>
                <w:rFonts w:ascii="新宋体" w:eastAsia="新宋体" w:hAnsi="新宋体"/>
              </w:rPr>
            </w:pPr>
            <w:r>
              <w:rPr>
                <w:rFonts w:ascii="新宋体" w:eastAsia="新宋体" w:hAnsi="新宋体"/>
              </w:rPr>
              <w:t>2025年10月28日</w:t>
            </w:r>
            <w:r>
              <w:rPr>
                <w:rFonts w:ascii="新宋体" w:eastAsia="新宋体" w:hAnsi="新宋体" w:hint="eastAsia"/>
              </w:rPr>
              <w:t xml:space="preserve"> 9:00至</w:t>
            </w:r>
            <w:r>
              <w:rPr>
                <w:rFonts w:ascii="新宋体" w:eastAsia="新宋体" w:hAnsi="新宋体"/>
              </w:rPr>
              <w:t>2025年11月03日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pPr>
              <w:spacing w:line="360" w:lineRule="auto"/>
              <w:rPr>
                <w:rFonts w:ascii="新宋体" w:eastAsia="新宋体" w:hAnsi="新宋体" w:hint="eastAsia"/>
              </w:rPr>
            </w:pPr>
            <w:r>
              <w:rPr>
                <w:rFonts w:ascii="新宋体" w:eastAsia="新宋体" w:hAnsi="新宋体"/>
              </w:rPr>
              <w:t>2025年11月04日</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pPr>
              <w:spacing w:line="360" w:lineRule="auto"/>
              <w:rPr>
                <w:rFonts w:ascii="新宋体" w:eastAsia="新宋体" w:hAnsi="新宋体" w:hint="eastAsia"/>
              </w:rPr>
            </w:pPr>
            <w:r>
              <w:rPr>
                <w:rFonts w:ascii="新宋体" w:eastAsia="新宋体" w:hAnsi="新宋体"/>
              </w:rPr>
              <w:t>2026年11月25日</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pPr>
              <w:spacing w:line="360" w:lineRule="auto"/>
              <w:rPr>
                <w:rFonts w:ascii="新宋体" w:eastAsia="新宋体" w:hAnsi="新宋体" w:hint="eastAsia"/>
              </w:rPr>
            </w:pPr>
            <w:r>
              <w:rPr>
                <w:rFonts w:ascii="新宋体" w:eastAsia="新宋体" w:hAnsi="新宋体"/>
              </w:rPr>
              <w:t>386</w:t>
            </w:r>
            <w:r>
              <w:rPr>
                <w:rFonts w:ascii="新宋体" w:eastAsia="新宋体" w:hAnsi="新宋体" w:hint="eastAsia"/>
              </w:rPr>
              <w:t>天</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C份额规模上限100000万，规模下限1万</w:t>
              <w:br/>
              <w:t>D份额规模上限300000万，规模下限1万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K份额规模上限100000万，规模下限1万</w:t>
            </w:r>
          </w:p>
          <w:p>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青岛银行及各销售服务渠道，C份额销售渠道为青岛银行及各销售服务渠道，D份额销售渠道为青岛银行及各销售服务渠道，E份额销售渠道为九江银行及各销售服务渠道，F份额销售渠道为珠海农商银行及各销售服务渠道，G份额销售渠道为青银理财直销APP及各销售服务渠道，H份额销售渠道为吉林银行及各销售服务渠道，I份额销售渠道为湖南银行及各销售服务渠道，J份额销售渠道为浙江海宁农商银行及各销售服务渠道，K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单一投资者</w:t>
            </w:r>
          </w:p>
          <w:p>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pPr>
              <w:spacing w:line="360" w:lineRule="auto"/>
              <w:jc w:val="left"/>
              <w:rPr>
                <w:rFonts w:ascii="新宋体" w:eastAsia="新宋体" w:hAnsi="新宋体"/>
                <w:szCs w:val="21"/>
              </w:rPr>
            </w:pPr>
            <w:r>
              <w:rPr>
                <w:rFonts w:ascii="新宋体" w:eastAsia="新宋体" w:hAnsi="新宋体"/>
              </w:rPr>
              <w:t>A份额无上限、B份额无上限、C份额无上限、D份额无上限、E份额无上限、F份额无上限、G份额无上限、H份额无上限、I份额无上限、J份额无上限、K份额无上限</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pPr>
              <w:spacing w:line="360" w:lineRule="auto"/>
              <w:rPr>
                <w:rFonts w:ascii="新宋体" w:eastAsia="新宋体" w:hAnsi="新宋体" w:hint="eastAsia"/>
                <w:b/>
              </w:rPr>
            </w:pPr>
            <w:r>
              <w:rPr>
                <w:rFonts w:ascii="新宋体" w:eastAsia="新宋体" w:hAnsi="新宋体" w:hint="eastAsia"/>
                <w:b/>
              </w:rPr>
              <w:t>A份额业绩比较基准为2.70%（年化）</w:t>
              <w:br/>
              <w:t>B份额业绩比较基准为2.65%（年化）</w:t>
              <w:br/>
              <w:t>C份额业绩比较基准为2.68%（年化）</w:t>
              <w:br/>
              <w:t>D份额业绩比较基准为2.60%（年化）</w:t>
              <w:br/>
              <w:t>E份额业绩比较基准为2.55%（年化）</w:t>
              <w:br/>
              <w:t>F份额业绩比较基准为2.65%（年化）</w:t>
              <w:br/>
              <w:t>G份额业绩比较基准为2.85%（年化）</w:t>
              <w:br/>
              <w:t>H份额业绩比较基准为2.70%（年化）</w:t>
              <w:br/>
              <w:t>I份额业绩比较基准为2.50%（年化）</w:t>
              <w:br/>
              <w:t>J份额业绩比较基准为2.80%（年化）</w:t>
              <w:br/>
              <w:t>K份额业绩比较基准为2.55%（年化）</w:t>
            </w:r>
          </w:p>
          <w:p>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部分的投资收益，20%归于投资者, 剩余部分作为管理人业绩报酬。</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0.35%；B份额固定管理费率（年化）为0.40%；C份额固定管理费率（年化）为0.37%；D份额固定管理费率（年化）为0.45%；E份额固定管理费率（年化）为0.50%；F份额固定管理费率（年化）为0.40%；G份额固定管理费率（年化）为0.20%；H份额固定管理费率（年化）为0.35%；I份额固定管理费率（年化）为0.55%；J份额固定管理费率（年化）为0.25%；K份额固定管理费率（年化）为0.50%</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（A份额2.70%、B份额2.65%、C份额2.68%、D份额2.60%、E份额2.55%、F份额2.65%、G份额2.85%、H份额2.70%、I份额2.50%、J份额2.80%、K份额2.55%），则超出部分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时，管理人将放弃计提的固定管理费，最高为已计提的全部固定管理费。</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CellMar>
            <w:top w:w="0" w:type="dxa"/>
            <w:left w:w="108" w:type="dxa"/>
            <w:bottom w:w="0" w:type="dxa"/>
            <w:right w:w="108" w:type="dxa"/>
          </w:tblCellMar>
          <w:tblLook w:val="0000"/>
        </w:tblPrEx>
        <w:trPr>
          <w:trHeight w:val="195"/>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CellMar>
            <w:top w:w="0" w:type="dxa"/>
            <w:left w:w="108" w:type="dxa"/>
            <w:bottom w:w="0" w:type="dxa"/>
            <w:right w:w="108" w:type="dxa"/>
          </w:tblCellMar>
          <w:tblLook w:val="0000"/>
        </w:tblPrEx>
        <w:trPr>
          <w:trHeight w:val="16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CellMar>
            <w:top w:w="0" w:type="dxa"/>
            <w:left w:w="108" w:type="dxa"/>
            <w:bottom w:w="0" w:type="dxa"/>
            <w:right w:w="108" w:type="dxa"/>
          </w:tblCellMar>
          <w:tblLook w:val="0000"/>
        </w:tblPrEx>
        <w:trPr>
          <w:trHeight w:val="143"/>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CellMar>
            <w:top w:w="0" w:type="dxa"/>
            <w:left w:w="108" w:type="dxa"/>
            <w:bottom w:w="0" w:type="dxa"/>
            <w:right w:w="108" w:type="dxa"/>
          </w:tblCellMar>
          <w:tblLook w:val="0000"/>
        </w:tblPrEx>
        <w:trPr>
          <w:trHeight w:val="143"/>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3060"/>
        <w:gridCol w:w="306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0-20%</w:t>
            </w:r>
          </w:p>
        </w:tc>
      </w:tr>
    </w:tbl>
    <w:p>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0.35%，B份额年化费率为0.40%，C份额年化费率为0.37%，D份额年化费率为0.45%，E份额年化费率为0.50%，F份额年化费率为0.40%，G份额年化费率为0.20%，H份额年化费率为0.35%，I份额年化费率为0.55%，J份额年化费率为0.25%，K份额年化费率为0.50%</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A份额【0.35】%，B份额【0.40】%，C份额【0.37】%，D份额【0.45】%，E份额【0.50】%，F份额【0.40】%，G份额【0.20】%，H份额【0.35】%，I份额【0.55】%，J份额【0.25】%，K份额【0.50】%</w:t>
      </w:r>
      <w:r>
        <w:rPr>
          <w:rFonts w:ascii="新宋体" w:eastAsia="新宋体" w:hAnsi="新宋体" w:cs="新宋体" w:hint="eastAsia"/>
          <w:sz w:val="21"/>
          <w:szCs w:val="21"/>
        </w:rPr>
        <w:t>年费率计提，由理财管理人收取。以A份额为例，计算方法如下：</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0.35%</w:t>
      </w:r>
      <w:r>
        <w:rPr>
          <w:rFonts w:ascii="新宋体" w:eastAsia="新宋体" w:hAnsi="新宋体" w:cs="新宋体" w:hint="eastAsia"/>
          <w:sz w:val="21"/>
          <w:szCs w:val="21"/>
        </w:rPr>
        <w:t>÷</w:t>
      </w:r>
      <w:r>
        <w:rPr>
          <w:rFonts w:ascii="新宋体" w:eastAsia="新宋体" w:hAnsi="新宋体" w:cs="新宋体" w:hint="eastAsia"/>
          <w:sz w:val="21"/>
          <w:szCs w:val="21"/>
        </w:rPr>
        <w:t>365</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时，管理人将放弃计提的固定管理费，最高为已计提的全部固定管理费。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本理财计划项下资产组合收益超出本理财计划业绩基准（A份额2.70%、B份额2.65%、C份额2.68%、D份额2.60%、E份额2.55%、F份额2.65%、G份额2.85%、H份额2.70%、I份额2.50%、J份额2.80%、K份额2.55%）的部分，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pPr>
        <w:snapToGrid w:val="0"/>
        <w:spacing w:line="360" w:lineRule="auto"/>
        <w:ind w:firstLine="420" w:firstLineChars="200"/>
        <w:jc w:val="left"/>
        <w:rPr>
          <w:b/>
        </w:rPr>
      </w:pPr>
      <w:r>
        <w:rPr>
          <w:rFonts w:hint="eastAsia"/>
          <w:b/>
        </w:rPr>
        <w:t>（6）</w:t>
      </w:r>
      <w:r>
        <w:rPr>
          <w:b/>
        </w:rPr>
        <w:t>重大事项公告</w:t>
      </w:r>
      <w:r>
        <w:rPr>
          <w:rFonts w:hint="eastAsia"/>
          <w:b/>
        </w:rPr>
        <w:t>。</w:t>
      </w:r>
    </w:p>
    <w:p>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1</w:t>
    </w:r>
    <w:r>
      <w:fldChar w:fldCharType="end"/>
    </w:r>
  </w:p>
  <w:p>
    <w:pPr>
      <w:pStyle w:val="Footer"/>
      <w:tabs>
        <w:tab w:val="center" w:pos="4153"/>
        <w:tab w:val="right" w:pos="8306"/>
      </w:tabs>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157259040</TotalTime>
  <Pages>14</Pages>
  <Words>1943</Words>
  <Characters>11080</Characters>
  <Application>Microsoft Office Word</Application>
  <DocSecurity>0</DocSecurity>
  <Lines>92</Lines>
  <Paragraphs>25</Paragraphs>
  <ScaleCrop>false</ScaleCrop>
  <Company>WwW.YlmF.CoM</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QD23600007</cp:lastModifiedBy>
  <cp:revision>4</cp:revision>
  <cp:lastPrinted>2011-09-18T02:03:00Z</cp:lastPrinted>
  <dcterms:created xsi:type="dcterms:W3CDTF">2023-07-25T08:36:00Z</dcterms:created>
  <dcterms:modified xsi:type="dcterms:W3CDTF">2025-07-02T06:17:52Z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2052-12.1.0.15358</vt:lpwstr>
  </property>
</Properties>
</file>